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6DB7FE6D"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4049CF">
        <w:rPr>
          <w:b/>
          <w:noProof/>
          <w:sz w:val="24"/>
          <w:szCs w:val="24"/>
          <w:lang w:val="en-US"/>
        </w:rPr>
        <w:t>3 Meeting #126</w:t>
      </w:r>
      <w:r w:rsidRPr="00264B7E">
        <w:rPr>
          <w:b/>
          <w:i/>
          <w:noProof/>
          <w:sz w:val="24"/>
          <w:szCs w:val="24"/>
          <w:lang w:val="en-US"/>
        </w:rPr>
        <w:tab/>
      </w:r>
      <w:r w:rsidR="00E33943">
        <w:rPr>
          <w:b/>
          <w:noProof/>
          <w:sz w:val="24"/>
          <w:szCs w:val="24"/>
          <w:lang w:val="en-US"/>
        </w:rPr>
        <w:t>R3</w:t>
      </w:r>
      <w:r w:rsidR="00702913" w:rsidRPr="00264B7E">
        <w:rPr>
          <w:b/>
          <w:noProof/>
          <w:sz w:val="24"/>
          <w:szCs w:val="24"/>
          <w:lang w:val="en-US"/>
        </w:rPr>
        <w:t>-</w:t>
      </w:r>
      <w:bookmarkStart w:id="1" w:name="_GoBack"/>
      <w:bookmarkEnd w:id="1"/>
      <w:r w:rsidR="00ED038B" w:rsidRPr="00ED038B">
        <w:rPr>
          <w:b/>
          <w:noProof/>
          <w:sz w:val="24"/>
          <w:szCs w:val="24"/>
          <w:lang w:val="en-US"/>
        </w:rPr>
        <w:t>247595</w:t>
      </w:r>
    </w:p>
    <w:p w14:paraId="1CD5986C" w14:textId="627C5BD1" w:rsidR="00CF1EAE" w:rsidRPr="00264B7E" w:rsidRDefault="004049CF" w:rsidP="00CF1EAE">
      <w:pPr>
        <w:pStyle w:val="3GPPHeader"/>
        <w:rPr>
          <w:noProof/>
          <w:szCs w:val="24"/>
          <w:lang w:eastAsia="ko-KR"/>
        </w:rPr>
      </w:pPr>
      <w:r>
        <w:rPr>
          <w:noProof/>
          <w:szCs w:val="24"/>
          <w:lang w:eastAsia="ko-KR"/>
        </w:rPr>
        <w:t>Orlando</w:t>
      </w:r>
      <w:r w:rsidR="006A5FC1">
        <w:rPr>
          <w:noProof/>
          <w:szCs w:val="24"/>
          <w:lang w:eastAsia="ko-KR"/>
        </w:rPr>
        <w:t xml:space="preserve">, </w:t>
      </w:r>
      <w:r>
        <w:rPr>
          <w:noProof/>
          <w:szCs w:val="24"/>
          <w:lang w:eastAsia="ko-KR"/>
        </w:rPr>
        <w:t>US</w:t>
      </w:r>
      <w:r w:rsidR="00702913" w:rsidRPr="00264B7E">
        <w:rPr>
          <w:noProof/>
          <w:szCs w:val="24"/>
          <w:lang w:eastAsia="ko-KR"/>
        </w:rPr>
        <w:t xml:space="preserve">, </w:t>
      </w:r>
      <w:r>
        <w:rPr>
          <w:noProof/>
          <w:szCs w:val="24"/>
          <w:lang w:eastAsia="ko-KR"/>
        </w:rPr>
        <w:t>November 18-22</w:t>
      </w:r>
      <w:r w:rsidR="00B55E00" w:rsidRPr="00264B7E">
        <w:rPr>
          <w:noProof/>
          <w:szCs w:val="24"/>
          <w:lang w:eastAsia="ko-KR"/>
        </w:rPr>
        <w:t>, 2024</w:t>
      </w:r>
    </w:p>
    <w:p w14:paraId="252563D4" w14:textId="77777777" w:rsidR="00E90E49" w:rsidRPr="002A0FA9" w:rsidRDefault="00E90E49" w:rsidP="002A0FA9">
      <w:pPr>
        <w:pStyle w:val="Heading1"/>
        <w:rPr>
          <w:lang w:val="en-US"/>
        </w:rPr>
      </w:pPr>
    </w:p>
    <w:p w14:paraId="267378A2" w14:textId="757EAE57"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78484E">
        <w:rPr>
          <w:sz w:val="22"/>
          <w:szCs w:val="22"/>
        </w:rPr>
        <w:t>15.2</w:t>
      </w:r>
    </w:p>
    <w:p w14:paraId="36E7B6AB" w14:textId="6F453E1B" w:rsidR="00E90E49" w:rsidRPr="000D065E" w:rsidRDefault="003D3C45" w:rsidP="00F64C2B">
      <w:pPr>
        <w:pStyle w:val="3GPPHeader"/>
        <w:rPr>
          <w:sz w:val="22"/>
          <w:szCs w:val="22"/>
        </w:rPr>
      </w:pPr>
      <w:r w:rsidRPr="000D065E">
        <w:rPr>
          <w:sz w:val="22"/>
          <w:szCs w:val="22"/>
        </w:rPr>
        <w:t>Source:</w:t>
      </w:r>
      <w:r w:rsidR="00E90E49" w:rsidRPr="000D065E">
        <w:rPr>
          <w:sz w:val="22"/>
          <w:szCs w:val="22"/>
        </w:rPr>
        <w:tab/>
      </w:r>
      <w:r w:rsidR="00B55E00" w:rsidRPr="000D065E">
        <w:rPr>
          <w:sz w:val="22"/>
          <w:szCs w:val="22"/>
        </w:rPr>
        <w:t>THALES</w:t>
      </w:r>
      <w:r w:rsidR="00E90A58">
        <w:rPr>
          <w:sz w:val="22"/>
          <w:szCs w:val="22"/>
        </w:rPr>
        <w:t xml:space="preserve">, </w:t>
      </w:r>
      <w:r w:rsidR="00F37A36" w:rsidRPr="000D065E">
        <w:rPr>
          <w:sz w:val="22"/>
          <w:szCs w:val="22"/>
        </w:rPr>
        <w:t>Sateliot</w:t>
      </w:r>
      <w:r w:rsidR="00E90A58">
        <w:rPr>
          <w:sz w:val="22"/>
          <w:szCs w:val="22"/>
        </w:rPr>
        <w:t>, Novamint</w:t>
      </w:r>
    </w:p>
    <w:p w14:paraId="72579376" w14:textId="74C43D18"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4049CF">
        <w:rPr>
          <w:sz w:val="22"/>
          <w:szCs w:val="22"/>
        </w:rPr>
        <w:t>Further d</w:t>
      </w:r>
      <w:r w:rsidR="0078484E">
        <w:rPr>
          <w:sz w:val="22"/>
          <w:szCs w:val="22"/>
        </w:rPr>
        <w:t>iscussion</w:t>
      </w:r>
      <w:r w:rsidR="004049CF">
        <w:rPr>
          <w:sz w:val="22"/>
          <w:szCs w:val="22"/>
        </w:rPr>
        <w:t>s</w:t>
      </w:r>
      <w:r w:rsidR="0078484E">
        <w:rPr>
          <w:sz w:val="22"/>
          <w:szCs w:val="22"/>
        </w:rPr>
        <w:t xml:space="preserve"> on support of Store and Forward </w:t>
      </w:r>
      <w:r w:rsidR="004049CF">
        <w:rPr>
          <w:sz w:val="22"/>
          <w:szCs w:val="22"/>
        </w:rPr>
        <w:t>operation</w:t>
      </w:r>
      <w:r w:rsidR="00ED038B">
        <w:rPr>
          <w:sz w:val="22"/>
          <w:szCs w:val="22"/>
        </w:rPr>
        <w:t>s</w:t>
      </w:r>
      <w:r w:rsidR="004049CF">
        <w:rPr>
          <w:sz w:val="22"/>
          <w:szCs w:val="22"/>
        </w:rPr>
        <w:t xml:space="preserve"> </w:t>
      </w:r>
      <w:r w:rsidR="0078484E">
        <w:rPr>
          <w:sz w:val="22"/>
          <w:szCs w:val="22"/>
        </w:rPr>
        <w:t>in NTN</w:t>
      </w:r>
    </w:p>
    <w:p w14:paraId="24C111CD" w14:textId="5CC57139" w:rsidR="00E90E49" w:rsidRPr="00264B7E" w:rsidRDefault="00E90E49" w:rsidP="00D546FF">
      <w:pPr>
        <w:pStyle w:val="3GPPHeader"/>
        <w:rPr>
          <w:sz w:val="22"/>
          <w:szCs w:val="22"/>
        </w:rPr>
      </w:pPr>
      <w:r w:rsidRPr="00264B7E">
        <w:rPr>
          <w:sz w:val="22"/>
          <w:szCs w:val="22"/>
        </w:rPr>
        <w:t>Document for:</w:t>
      </w:r>
      <w:r w:rsidRPr="00264B7E">
        <w:rPr>
          <w:sz w:val="22"/>
          <w:szCs w:val="22"/>
        </w:rPr>
        <w:tab/>
      </w:r>
      <w:r w:rsidR="00B55E00" w:rsidRPr="00264B7E">
        <w:rPr>
          <w:sz w:val="22"/>
          <w:szCs w:val="22"/>
        </w:rPr>
        <w:t>Discussion</w:t>
      </w:r>
      <w:r w:rsidR="004049CF">
        <w:rPr>
          <w:sz w:val="22"/>
          <w:szCs w:val="22"/>
        </w:rPr>
        <w:t xml:space="preserve"> and decision</w:t>
      </w:r>
    </w:p>
    <w:p w14:paraId="1DD4A9BC" w14:textId="77777777" w:rsidR="00E90E49" w:rsidRPr="00264B7E" w:rsidRDefault="00E90E49" w:rsidP="00E90E49"/>
    <w:p w14:paraId="028056FC" w14:textId="1BC5561E" w:rsidR="00E90E49" w:rsidRPr="00264B7E" w:rsidRDefault="00230D18" w:rsidP="00CE0424">
      <w:pPr>
        <w:pStyle w:val="Heading1"/>
        <w:rPr>
          <w:lang w:val="en-US"/>
        </w:rPr>
      </w:pPr>
      <w:r w:rsidRPr="00264B7E">
        <w:rPr>
          <w:lang w:val="en-US"/>
        </w:rPr>
        <w:t>1</w:t>
      </w:r>
      <w:r w:rsidRPr="00264B7E">
        <w:rPr>
          <w:lang w:val="en-US"/>
        </w:rPr>
        <w:tab/>
      </w:r>
      <w:r w:rsidR="00E90E49" w:rsidRPr="00264B7E">
        <w:rPr>
          <w:lang w:val="en-US"/>
        </w:rPr>
        <w:t>Introduction</w:t>
      </w:r>
    </w:p>
    <w:p w14:paraId="0FB0EC04" w14:textId="6E8DC7B1" w:rsidR="003E459D" w:rsidRDefault="003E459D" w:rsidP="003E459D">
      <w:pPr>
        <w:pStyle w:val="BodyText"/>
      </w:pPr>
      <w:bookmarkStart w:id="2" w:name="_Ref178064866"/>
      <w:r>
        <w:t>The approved work item justifications and objectives for NR NTN Evolution in Rel-19 [1] emphasizes the benefit to support Store and Forward operation for NB-IoT</w:t>
      </w:r>
      <w:r w:rsidR="00F37A36">
        <w:t xml:space="preserve"> NTN</w:t>
      </w:r>
      <w:r>
        <w:t>.</w:t>
      </w:r>
    </w:p>
    <w:tbl>
      <w:tblPr>
        <w:tblStyle w:val="TableGrid"/>
        <w:tblW w:w="0" w:type="auto"/>
        <w:tblLook w:val="04A0" w:firstRow="1" w:lastRow="0" w:firstColumn="1" w:lastColumn="0" w:noHBand="0" w:noVBand="1"/>
      </w:tblPr>
      <w:tblGrid>
        <w:gridCol w:w="9629"/>
      </w:tblGrid>
      <w:tr w:rsidR="003E459D" w14:paraId="54C88A19" w14:textId="77777777" w:rsidTr="005C31D6">
        <w:tc>
          <w:tcPr>
            <w:tcW w:w="9629" w:type="dxa"/>
          </w:tcPr>
          <w:p w14:paraId="115B0257" w14:textId="77777777" w:rsidR="003E459D" w:rsidRPr="00134B7D" w:rsidRDefault="003E459D" w:rsidP="005C31D6">
            <w:pPr>
              <w:spacing w:after="0"/>
              <w:rPr>
                <w:bCs/>
              </w:rPr>
            </w:pPr>
          </w:p>
          <w:p w14:paraId="6B756F83" w14:textId="77777777" w:rsidR="003E459D" w:rsidRPr="005034EE" w:rsidRDefault="003E459D" w:rsidP="005C31D6">
            <w:pPr>
              <w:spacing w:after="0"/>
              <w:jc w:val="left"/>
              <w:rPr>
                <w:rFonts w:eastAsia="Times New Roman"/>
                <w:sz w:val="20"/>
                <w:szCs w:val="20"/>
                <w:lang w:val="en-GB" w:eastAsia="zh-CN"/>
              </w:rPr>
            </w:pPr>
            <w:r w:rsidRPr="005034EE">
              <w:rPr>
                <w:rFonts w:eastAsia="Times New Roman"/>
                <w:sz w:val="20"/>
                <w:szCs w:val="20"/>
                <w:lang w:val="en-GB" w:eastAsia="zh-CN"/>
              </w:rPr>
              <w:t>Benefits specifically associated with the support of Store and Forward (S&amp;F) Satellite operation with regenerative payload:</w:t>
            </w:r>
          </w:p>
          <w:p w14:paraId="1343DF5E" w14:textId="77777777" w:rsidR="003E459D" w:rsidRPr="005034EE" w:rsidRDefault="003E459D" w:rsidP="003E459D">
            <w:pPr>
              <w:pStyle w:val="ListParagraph"/>
              <w:numPr>
                <w:ilvl w:val="0"/>
                <w:numId w:val="42"/>
              </w:numPr>
              <w:jc w:val="left"/>
              <w:rPr>
                <w:lang w:eastAsia="zh-CN"/>
              </w:rPr>
            </w:pPr>
            <w:r w:rsidRPr="005034EE">
              <w:rPr>
                <w:lang w:eastAsia="zh-CN"/>
              </w:rPr>
              <w:t>S&amp;F operation allows for delay-tolerant, non-real-time IoT NTN services to be offered in areas visited by the satellites but with no need to have NTN gateway infrastructure (e.g.mid-sea, remote areas)</w:t>
            </w:r>
          </w:p>
          <w:p w14:paraId="2DDCC67B" w14:textId="77777777" w:rsidR="003E459D" w:rsidRPr="005034EE" w:rsidRDefault="003E459D" w:rsidP="003E459D">
            <w:pPr>
              <w:pStyle w:val="ListParagraph"/>
              <w:numPr>
                <w:ilvl w:val="0"/>
                <w:numId w:val="42"/>
              </w:numPr>
              <w:jc w:val="left"/>
              <w:rPr>
                <w:lang w:eastAsia="zh-CN"/>
              </w:rPr>
            </w:pPr>
            <w:r w:rsidRPr="005034EE">
              <w:rPr>
                <w:lang w:val="en-GB" w:eastAsia="zh-CN"/>
              </w:rPr>
              <w:t>Along with support for discontinuous coverage, support for S&amp;F operation is key to facilitate cost-effective deployment of IoT NTN services and enable an immediate operational service with (1</w:t>
            </w:r>
            <w:r w:rsidRPr="00356223">
              <w:rPr>
                <w:highlight w:val="yellow"/>
                <w:lang w:val="en-GB" w:eastAsia="zh-CN"/>
              </w:rPr>
              <w:t>) sparse LEO constellations</w:t>
            </w:r>
            <w:r w:rsidRPr="005034EE">
              <w:rPr>
                <w:lang w:val="en-GB" w:eastAsia="zh-CN"/>
              </w:rPr>
              <w:t xml:space="preserve"> and (2) </w:t>
            </w:r>
            <w:r w:rsidRPr="00356223">
              <w:rPr>
                <w:highlight w:val="yellow"/>
                <w:lang w:val="en-GB" w:eastAsia="zh-CN"/>
              </w:rPr>
              <w:t>reduced ground segment infrastructure</w:t>
            </w:r>
            <w:r w:rsidRPr="005034EE">
              <w:rPr>
                <w:lang w:val="en-GB" w:eastAsia="zh-CN"/>
              </w:rPr>
              <w:t>.</w:t>
            </w:r>
          </w:p>
          <w:p w14:paraId="09B73268" w14:textId="77777777" w:rsidR="003E459D" w:rsidRPr="005034EE" w:rsidRDefault="003E459D" w:rsidP="003E459D">
            <w:pPr>
              <w:pStyle w:val="ListParagraph"/>
              <w:numPr>
                <w:ilvl w:val="0"/>
                <w:numId w:val="42"/>
              </w:numPr>
              <w:jc w:val="left"/>
              <w:rPr>
                <w:lang w:eastAsia="zh-CN"/>
              </w:rPr>
            </w:pPr>
            <w:r w:rsidRPr="005034EE">
              <w:rPr>
                <w:lang w:val="en-GB" w:eastAsia="zh-CN"/>
              </w:rPr>
              <w:t>The support of S&amp;F puts the 3GPP IoT NTN solution on par with other non-3GPP solutions intended for massive satellite IoT, which natively already supports S&amp;F services</w:t>
            </w:r>
          </w:p>
          <w:p w14:paraId="54156B77" w14:textId="77777777" w:rsidR="003E459D" w:rsidRPr="005034EE" w:rsidRDefault="003E459D" w:rsidP="005C31D6">
            <w:pPr>
              <w:pStyle w:val="ListParagraph"/>
              <w:overflowPunct/>
              <w:autoSpaceDE/>
              <w:autoSpaceDN/>
              <w:adjustRightInd/>
              <w:spacing w:line="276" w:lineRule="auto"/>
              <w:contextualSpacing/>
              <w:jc w:val="left"/>
              <w:textAlignment w:val="auto"/>
              <w:rPr>
                <w:rFonts w:ascii="Arial" w:eastAsia="Times New Roman" w:hAnsi="Arial"/>
                <w:sz w:val="20"/>
                <w:szCs w:val="20"/>
                <w:lang w:val="en-GB" w:eastAsia="zh-CN"/>
              </w:rPr>
            </w:pPr>
          </w:p>
        </w:tc>
      </w:tr>
    </w:tbl>
    <w:p w14:paraId="2C66C111" w14:textId="77777777" w:rsidR="003E459D" w:rsidRDefault="003E459D" w:rsidP="003E459D">
      <w:pPr>
        <w:pStyle w:val="BodyText"/>
      </w:pPr>
    </w:p>
    <w:tbl>
      <w:tblPr>
        <w:tblStyle w:val="TableGrid"/>
        <w:tblW w:w="0" w:type="auto"/>
        <w:tblLook w:val="04A0" w:firstRow="1" w:lastRow="0" w:firstColumn="1" w:lastColumn="0" w:noHBand="0" w:noVBand="1"/>
      </w:tblPr>
      <w:tblGrid>
        <w:gridCol w:w="9629"/>
      </w:tblGrid>
      <w:tr w:rsidR="003E459D" w14:paraId="3532340B" w14:textId="77777777" w:rsidTr="005C31D6">
        <w:tc>
          <w:tcPr>
            <w:tcW w:w="9629" w:type="dxa"/>
          </w:tcPr>
          <w:p w14:paraId="7D0976CC" w14:textId="77777777" w:rsidR="003E459D" w:rsidRPr="005034EE" w:rsidRDefault="003E459D" w:rsidP="005C31D6">
            <w:pPr>
              <w:spacing w:after="0" w:line="276" w:lineRule="auto"/>
              <w:jc w:val="left"/>
              <w:rPr>
                <w:rFonts w:eastAsia="Times New Roman"/>
                <w:sz w:val="20"/>
                <w:szCs w:val="20"/>
                <w:lang w:val="en-GB" w:eastAsia="zh-CN"/>
              </w:rPr>
            </w:pPr>
            <w:r w:rsidRPr="005034EE">
              <w:rPr>
                <w:rFonts w:eastAsia="Times New Roman"/>
                <w:sz w:val="20"/>
                <w:szCs w:val="20"/>
                <w:lang w:val="en-GB" w:eastAsia="zh-CN"/>
              </w:rPr>
              <w:t>Support of Store&amp;Forward (S&amp;F) satellite operation with full eNB as regenerative payload, therefore:</w:t>
            </w:r>
          </w:p>
          <w:p w14:paraId="6F1F7734" w14:textId="77777777" w:rsidR="003E459D" w:rsidRDefault="003E459D" w:rsidP="005C31D6">
            <w:pPr>
              <w:pStyle w:val="ListParagraph"/>
              <w:numPr>
                <w:ilvl w:val="2"/>
                <w:numId w:val="33"/>
              </w:numPr>
              <w:spacing w:line="276" w:lineRule="auto"/>
              <w:jc w:val="left"/>
              <w:rPr>
                <w:lang w:eastAsia="zh-CN"/>
              </w:rPr>
            </w:pPr>
            <w:r w:rsidRPr="005034EE">
              <w:rPr>
                <w:lang w:eastAsia="zh-CN"/>
              </w:rPr>
              <w:t xml:space="preserve">Define the necessary enhancements into E-UTRAN (network &amp; UE) to support S&amp;F operation for delay-tolerant services [RAN3, RAN2]. </w:t>
            </w:r>
          </w:p>
          <w:p w14:paraId="252CF2EA" w14:textId="77777777" w:rsidR="003E459D" w:rsidRPr="005034EE" w:rsidRDefault="003E459D" w:rsidP="005C31D6">
            <w:pPr>
              <w:pStyle w:val="ListParagraph"/>
              <w:numPr>
                <w:ilvl w:val="3"/>
                <w:numId w:val="33"/>
              </w:numPr>
              <w:spacing w:line="276" w:lineRule="auto"/>
              <w:jc w:val="left"/>
              <w:rPr>
                <w:lang w:eastAsia="zh-CN"/>
              </w:rPr>
            </w:pPr>
            <w:r w:rsidRPr="002E27B9">
              <w:rPr>
                <w:lang w:eastAsia="zh-CN"/>
              </w:rPr>
              <w:t>At least specify necessary enhancements e.g. related to S1 protocol, especially to address the feeder link switch over as needed</w:t>
            </w:r>
            <w:r w:rsidRPr="005034EE">
              <w:rPr>
                <w:lang w:eastAsia="zh-CN"/>
              </w:rPr>
              <w:t xml:space="preserve"> [RAN3]</w:t>
            </w:r>
          </w:p>
          <w:p w14:paraId="486FB993" w14:textId="77777777" w:rsidR="003E459D" w:rsidRPr="005034EE" w:rsidRDefault="003E459D" w:rsidP="005C31D6">
            <w:pPr>
              <w:spacing w:after="0" w:line="276" w:lineRule="auto"/>
              <w:ind w:left="420"/>
              <w:jc w:val="left"/>
              <w:rPr>
                <w:rFonts w:eastAsia="Times New Roman"/>
                <w:sz w:val="20"/>
                <w:szCs w:val="20"/>
                <w:lang w:val="en-GB" w:eastAsia="zh-CN"/>
              </w:rPr>
            </w:pPr>
            <w:r w:rsidRPr="005034EE">
              <w:rPr>
                <w:rFonts w:eastAsia="Times New Roman"/>
                <w:sz w:val="20"/>
                <w:szCs w:val="20"/>
                <w:lang w:val="en-GB" w:eastAsia="zh-CN"/>
              </w:rPr>
              <w:t>Note: Strive to minimise UE impact.</w:t>
            </w:r>
          </w:p>
          <w:p w14:paraId="012F0995" w14:textId="77777777" w:rsidR="003E459D" w:rsidRPr="005034EE" w:rsidRDefault="003E459D" w:rsidP="005C31D6">
            <w:pPr>
              <w:spacing w:after="0" w:line="276" w:lineRule="auto"/>
              <w:jc w:val="left"/>
              <w:rPr>
                <w:rFonts w:eastAsia="Times New Roman"/>
                <w:sz w:val="20"/>
                <w:szCs w:val="20"/>
                <w:lang w:val="en-GB" w:eastAsia="zh-CN"/>
              </w:rPr>
            </w:pPr>
          </w:p>
          <w:p w14:paraId="048F500E" w14:textId="77777777" w:rsidR="003E459D" w:rsidRPr="005034EE" w:rsidRDefault="003E459D" w:rsidP="005C31D6">
            <w:pPr>
              <w:spacing w:after="0" w:line="276" w:lineRule="auto"/>
              <w:ind w:left="420"/>
              <w:jc w:val="left"/>
              <w:rPr>
                <w:rFonts w:eastAsia="Times New Roman"/>
                <w:sz w:val="20"/>
                <w:szCs w:val="20"/>
                <w:lang w:val="en-GB" w:eastAsia="zh-CN"/>
              </w:rPr>
            </w:pPr>
            <w:r w:rsidRPr="005034EE">
              <w:rPr>
                <w:rFonts w:eastAsia="Times New Roman"/>
                <w:sz w:val="20"/>
                <w:szCs w:val="20"/>
                <w:lang w:val="en-GB" w:eastAsia="zh-CN"/>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8FEE209" w14:textId="77777777" w:rsidR="003E459D" w:rsidRPr="005034EE" w:rsidRDefault="003E459D" w:rsidP="005C31D6">
            <w:pPr>
              <w:pStyle w:val="BodyText"/>
              <w:rPr>
                <w:lang w:val="en-GB"/>
              </w:rPr>
            </w:pPr>
          </w:p>
        </w:tc>
      </w:tr>
    </w:tbl>
    <w:p w14:paraId="62034A1D" w14:textId="6B539D92" w:rsidR="003E459D" w:rsidRDefault="003E459D" w:rsidP="003E459D">
      <w:pPr>
        <w:pStyle w:val="BodyText"/>
      </w:pPr>
    </w:p>
    <w:p w14:paraId="01D0DCFC" w14:textId="09DD349E" w:rsidR="00356223" w:rsidRDefault="00356223" w:rsidP="003E459D">
      <w:pPr>
        <w:pStyle w:val="BodyText"/>
      </w:pPr>
      <w:r>
        <w:t>In the same time, SA2 concluded on the following normative impacts of the store and forward</w:t>
      </w:r>
      <w:r w:rsidR="00250975">
        <w:t xml:space="preserve"> in KI#2</w:t>
      </w:r>
      <w:r>
        <w:t xml:space="preserve"> [2]</w:t>
      </w:r>
      <w:r w:rsidR="00052204">
        <w:t xml:space="preserve"> the two architecture considered</w:t>
      </w:r>
      <w:r w:rsidR="00AE4382">
        <w:t xml:space="preserve"> for the S&amp;F operations</w:t>
      </w:r>
      <w:r w:rsidR="00052204">
        <w:t>, Split MME a</w:t>
      </w:r>
      <w:r w:rsidR="002A0FA9">
        <w:t>rchitecture and full CN onboard</w:t>
      </w:r>
      <w:r w:rsidR="00052204">
        <w:t>:</w:t>
      </w:r>
    </w:p>
    <w:tbl>
      <w:tblPr>
        <w:tblStyle w:val="TableGrid"/>
        <w:tblW w:w="0" w:type="auto"/>
        <w:tblLook w:val="04A0" w:firstRow="1" w:lastRow="0" w:firstColumn="1" w:lastColumn="0" w:noHBand="0" w:noVBand="1"/>
      </w:tblPr>
      <w:tblGrid>
        <w:gridCol w:w="9629"/>
      </w:tblGrid>
      <w:tr w:rsidR="00356223" w14:paraId="2A87B94C" w14:textId="77777777" w:rsidTr="00356223">
        <w:tc>
          <w:tcPr>
            <w:tcW w:w="9629" w:type="dxa"/>
          </w:tcPr>
          <w:p w14:paraId="40BF2D37" w14:textId="6428AC1A" w:rsidR="00356223" w:rsidRDefault="00356223" w:rsidP="00356223">
            <w:pPr>
              <w:spacing w:after="0"/>
              <w:jc w:val="left"/>
              <w:rPr>
                <w:rFonts w:eastAsia="Times New Roman"/>
                <w:sz w:val="20"/>
                <w:szCs w:val="20"/>
                <w:lang w:val="en-GB" w:eastAsia="zh-CN"/>
              </w:rPr>
            </w:pPr>
            <w:r w:rsidRPr="00356223">
              <w:rPr>
                <w:rFonts w:eastAsia="Times New Roman"/>
                <w:sz w:val="20"/>
                <w:szCs w:val="20"/>
                <w:lang w:val="en-GB" w:eastAsia="zh-CN"/>
              </w:rPr>
              <w:t>The following option is agreed for supporting Store and Forward operation with a Split MME archite</w:t>
            </w:r>
            <w:r w:rsidR="00052204">
              <w:rPr>
                <w:rFonts w:eastAsia="Times New Roman"/>
                <w:sz w:val="20"/>
                <w:szCs w:val="20"/>
                <w:lang w:val="en-GB" w:eastAsia="zh-CN"/>
              </w:rPr>
              <w:t>cture with the following normative impacts</w:t>
            </w:r>
            <w:r w:rsidRPr="00356223">
              <w:rPr>
                <w:rFonts w:eastAsia="Times New Roman"/>
                <w:sz w:val="20"/>
                <w:szCs w:val="20"/>
                <w:lang w:val="en-GB" w:eastAsia="zh-CN"/>
              </w:rPr>
              <w:t>:</w:t>
            </w:r>
          </w:p>
          <w:p w14:paraId="73E4ED8D" w14:textId="77777777" w:rsidR="00356223" w:rsidRPr="00356223" w:rsidRDefault="00356223" w:rsidP="00356223">
            <w:pPr>
              <w:spacing w:after="0"/>
              <w:jc w:val="left"/>
              <w:rPr>
                <w:rFonts w:eastAsia="Times New Roman"/>
                <w:sz w:val="20"/>
                <w:szCs w:val="20"/>
                <w:lang w:val="en-GB" w:eastAsia="zh-CN"/>
              </w:rPr>
            </w:pPr>
          </w:p>
          <w:p w14:paraId="244E94FE" w14:textId="2DD43342" w:rsidR="00356223" w:rsidRPr="00356223" w:rsidRDefault="00356223" w:rsidP="00356223">
            <w:pPr>
              <w:pStyle w:val="ListParagraph"/>
              <w:numPr>
                <w:ilvl w:val="0"/>
                <w:numId w:val="44"/>
              </w:numPr>
              <w:jc w:val="left"/>
              <w:rPr>
                <w:lang w:val="en-GB" w:eastAsia="zh-CN"/>
              </w:rPr>
            </w:pPr>
            <w:r w:rsidRPr="00356223">
              <w:rPr>
                <w:lang w:val="en-GB" w:eastAsia="zh-CN"/>
              </w:rPr>
              <w:lastRenderedPageBreak/>
              <w:t xml:space="preserve">When feeder link is not available and the network supports S&amp;F operation, the network shall be able to </w:t>
            </w:r>
            <w:r w:rsidRPr="00356223">
              <w:rPr>
                <w:highlight w:val="yellow"/>
                <w:lang w:val="en-GB" w:eastAsia="zh-CN"/>
              </w:rPr>
              <w:t>inform UE(s) whether S&amp;F Satellite operation is applied</w:t>
            </w:r>
            <w:r w:rsidRPr="00356223">
              <w:rPr>
                <w:lang w:val="en-GB" w:eastAsia="zh-CN"/>
              </w:rPr>
              <w:t>, (e.g. eNB broadcast support of S&amp;F operation as part of System Information).</w:t>
            </w:r>
          </w:p>
          <w:p w14:paraId="51672E80" w14:textId="77777777" w:rsidR="00356223" w:rsidRPr="00356223" w:rsidRDefault="00356223" w:rsidP="00356223">
            <w:pPr>
              <w:pStyle w:val="ListParagraph"/>
              <w:numPr>
                <w:ilvl w:val="1"/>
                <w:numId w:val="42"/>
              </w:numPr>
              <w:jc w:val="left"/>
            </w:pPr>
            <w:r w:rsidRPr="00356223">
              <w:rPr>
                <w:lang w:val="en-GB" w:eastAsia="zh-CN"/>
              </w:rPr>
              <w:t>NOTE 1:</w:t>
            </w:r>
            <w:r w:rsidRPr="00356223">
              <w:rPr>
                <w:lang w:val="en-GB" w:eastAsia="zh-CN"/>
              </w:rPr>
              <w:tab/>
              <w:t>The trigger for the eNB to broadcast support of S&amp;F operation is based on the decision of RAN WGs. From system perspective the expectation is that if the network does not support S&amp;F operation and the feeder link is not available then eNB switches off and does not broadcast any signal.</w:t>
            </w:r>
          </w:p>
          <w:p w14:paraId="1F1AAA16" w14:textId="0942FE0F" w:rsidR="00356223" w:rsidRPr="00356223" w:rsidRDefault="00356223" w:rsidP="00356223">
            <w:pPr>
              <w:pStyle w:val="ListParagraph"/>
              <w:numPr>
                <w:ilvl w:val="0"/>
                <w:numId w:val="44"/>
              </w:numPr>
              <w:jc w:val="left"/>
            </w:pPr>
            <w:r w:rsidRPr="00356223">
              <w:t xml:space="preserve">When UE initiates Attach or TAU procedure, </w:t>
            </w:r>
            <w:r w:rsidRPr="00F37A36">
              <w:t>it indicates support for S&amp;F mode to the MME following existing NAS capability</w:t>
            </w:r>
            <w:r w:rsidRPr="00356223">
              <w:t>, the MME sends Attach or TAU Reject message to the UE if these procedures cannot be completed due to S&amp;F operation. The Attach or TAU Reject message includes:</w:t>
            </w:r>
          </w:p>
          <w:p w14:paraId="5CFBD6D2" w14:textId="77777777" w:rsidR="00356223" w:rsidRDefault="00356223" w:rsidP="00356223">
            <w:pPr>
              <w:pStyle w:val="ListParagraph"/>
              <w:ind w:left="1440"/>
              <w:jc w:val="left"/>
            </w:pPr>
            <w:r>
              <w:t>a)</w:t>
            </w:r>
            <w: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446D2568" w14:textId="0B10F539" w:rsidR="00356223" w:rsidRDefault="00356223" w:rsidP="00356223">
            <w:pPr>
              <w:pStyle w:val="ListParagraph"/>
              <w:ind w:left="1134"/>
              <w:jc w:val="left"/>
            </w:pPr>
            <w:r w:rsidRPr="00356223">
              <w:rPr>
                <w:lang w:val="en-US"/>
              </w:rPr>
              <w:t xml:space="preserve">      </w:t>
            </w:r>
            <w:r>
              <w:t>b)</w:t>
            </w:r>
            <w:r>
              <w:tab/>
              <w:t>Wait timer: Indicates to the UE the time it should wait before re-attempting the Attach/TAU procedure in the current or another satellite of the same PLMN.</w:t>
            </w:r>
          </w:p>
          <w:p w14:paraId="2B337058" w14:textId="3ED54763" w:rsidR="00356223" w:rsidRDefault="00356223" w:rsidP="00356223">
            <w:pPr>
              <w:pStyle w:val="ListParagraph"/>
              <w:ind w:left="1134"/>
              <w:jc w:val="left"/>
            </w:pPr>
            <w:r w:rsidRPr="00356223">
              <w:rPr>
                <w:lang w:val="en-US"/>
              </w:rPr>
              <w:t xml:space="preserve">       </w:t>
            </w:r>
            <w:r>
              <w:t>c)</w:t>
            </w:r>
            <w:r>
              <w:tab/>
              <w:t>Optionally, The list of Satellite IDs over which the UE may re-attempt the Attach/TAU procedure, after wait timer expires. The Satellite IDs are based on the SIB information broadcasted by eNB.</w:t>
            </w:r>
          </w:p>
          <w:p w14:paraId="17208931" w14:textId="46775888" w:rsidR="00052204" w:rsidRPr="002A0FA9" w:rsidRDefault="00052204" w:rsidP="00052204">
            <w:pPr>
              <w:jc w:val="left"/>
              <w:rPr>
                <w:sz w:val="20"/>
              </w:rPr>
            </w:pPr>
            <w:r w:rsidRPr="002A0FA9">
              <w:rPr>
                <w:sz w:val="20"/>
              </w:rPr>
              <w:t>[…]</w:t>
            </w:r>
          </w:p>
          <w:p w14:paraId="6B8C3BC9" w14:textId="1717A64B" w:rsidR="00052204" w:rsidRPr="002A0FA9" w:rsidRDefault="00052204" w:rsidP="00052204">
            <w:pPr>
              <w:jc w:val="left"/>
              <w:rPr>
                <w:sz w:val="20"/>
              </w:rPr>
            </w:pPr>
            <w:r w:rsidRPr="002A0FA9">
              <w:rPr>
                <w:sz w:val="20"/>
              </w:rPr>
              <w:t>The following option is agreed for supporting Store and Forward operation with a full CN onboard the satellite with the following normative impacts:</w:t>
            </w:r>
          </w:p>
          <w:p w14:paraId="4081F1D0" w14:textId="4DE63599" w:rsidR="00052204" w:rsidRPr="002A0FA9" w:rsidRDefault="00052204" w:rsidP="00052204">
            <w:pPr>
              <w:ind w:left="567"/>
              <w:jc w:val="left"/>
              <w:rPr>
                <w:sz w:val="20"/>
              </w:rPr>
            </w:pPr>
            <w:r w:rsidRPr="002A0FA9">
              <w:rPr>
                <w:sz w:val="20"/>
              </w:rPr>
              <w:t>- Store and forward is only supported by EPS.</w:t>
            </w:r>
          </w:p>
          <w:p w14:paraId="54269027" w14:textId="66A71B09" w:rsidR="00052204" w:rsidRPr="002A0FA9" w:rsidRDefault="00052204" w:rsidP="00052204">
            <w:pPr>
              <w:ind w:left="567"/>
              <w:jc w:val="left"/>
              <w:rPr>
                <w:sz w:val="20"/>
              </w:rPr>
            </w:pPr>
            <w:r w:rsidRPr="002A0FA9">
              <w:rPr>
                <w:sz w:val="20"/>
              </w:rPr>
              <w:t>- Optionally the MME provides the UE with a S&amp;F monitoring list of satellites IDs, during attach/TAU. The UE uses the satellites in the S&amp;F monitoring list for MO/MT data/signalling with the CN. The S&amp;F monitoring list can be determination by the CN. How network determines the S&amp;F monitoring list is outside the scope of 3GPP in this release of specification.</w:t>
            </w:r>
          </w:p>
          <w:p w14:paraId="66750EF8" w14:textId="77777777" w:rsidR="00052204" w:rsidRPr="002A0FA9" w:rsidRDefault="00052204" w:rsidP="00052204">
            <w:pPr>
              <w:jc w:val="left"/>
              <w:rPr>
                <w:sz w:val="20"/>
              </w:rPr>
            </w:pPr>
            <w:r w:rsidRPr="002A0FA9">
              <w:rPr>
                <w:sz w:val="20"/>
              </w:rPr>
              <w:t>NOTE 8:</w:t>
            </w:r>
            <w:r w:rsidRPr="002A0FA9">
              <w:rPr>
                <w:sz w:val="20"/>
              </w:rPr>
              <w:tab/>
              <w:t>The S&amp;F monitoring list may assist the UE in retrieving MT data.</w:t>
            </w:r>
          </w:p>
          <w:p w14:paraId="33CC2207" w14:textId="7DD257A4" w:rsidR="00052204" w:rsidRPr="00052204" w:rsidRDefault="00052204" w:rsidP="00052204">
            <w:pPr>
              <w:pStyle w:val="ListParagraph"/>
              <w:numPr>
                <w:ilvl w:val="0"/>
                <w:numId w:val="42"/>
              </w:numPr>
              <w:jc w:val="left"/>
            </w:pPr>
            <w:r w:rsidRPr="00052204">
              <w:t>The UE needs to be aware that a satellite supports S&amp;F mode.</w:t>
            </w:r>
          </w:p>
          <w:p w14:paraId="39422988" w14:textId="77777777" w:rsidR="00052204" w:rsidRPr="002A0FA9" w:rsidRDefault="00052204" w:rsidP="00052204">
            <w:pPr>
              <w:jc w:val="left"/>
              <w:rPr>
                <w:sz w:val="20"/>
              </w:rPr>
            </w:pPr>
            <w:r w:rsidRPr="002A0FA9">
              <w:rPr>
                <w:sz w:val="20"/>
              </w:rPr>
              <w:t>NOTE 9:</w:t>
            </w:r>
            <w:r w:rsidRPr="002A0FA9">
              <w:rPr>
                <w:sz w:val="20"/>
              </w:rPr>
              <w:tab/>
              <w:t>How the UE is aware that a satellite supports S&amp;F mode of operation depends on RAN.</w:t>
            </w:r>
          </w:p>
          <w:p w14:paraId="61DF63E9" w14:textId="37C9A5D6" w:rsidR="00052204" w:rsidRPr="00052204" w:rsidRDefault="00052204" w:rsidP="00052204">
            <w:pPr>
              <w:pStyle w:val="ListParagraph"/>
              <w:numPr>
                <w:ilvl w:val="0"/>
                <w:numId w:val="42"/>
              </w:numPr>
              <w:jc w:val="left"/>
            </w:pPr>
            <w:r w:rsidRPr="00052204">
              <w:t>A UE may be rejected if the satellite cannot support the UE at this time. The attach reject may provide a timer for the time the UE should wait before reattempting and S&amp;F monitoring list which the UE can attempt attach again.</w:t>
            </w:r>
          </w:p>
          <w:p w14:paraId="7BF2BE9E" w14:textId="5435B37C" w:rsidR="00356223" w:rsidRDefault="00356223" w:rsidP="00356223">
            <w:pPr>
              <w:jc w:val="left"/>
            </w:pPr>
          </w:p>
        </w:tc>
      </w:tr>
    </w:tbl>
    <w:p w14:paraId="3F44C208" w14:textId="43B75F00" w:rsidR="00356223" w:rsidRDefault="00356223" w:rsidP="003E459D">
      <w:pPr>
        <w:pStyle w:val="BodyText"/>
      </w:pPr>
    </w:p>
    <w:p w14:paraId="6CC46946" w14:textId="3E15EF1B" w:rsidR="00AE2875" w:rsidRPr="00716D52" w:rsidRDefault="00AE2875" w:rsidP="003E459D">
      <w:pPr>
        <w:pStyle w:val="BodyText"/>
      </w:pPr>
      <w:r w:rsidRPr="00716D52">
        <w:t>In last SA2 meeting, SA2 has also provided the response in a LS reply</w:t>
      </w:r>
      <w:r w:rsidR="00716D52">
        <w:t xml:space="preserve"> </w:t>
      </w:r>
      <w:r w:rsidR="00716D52">
        <w:t>[10]</w:t>
      </w:r>
      <w:r w:rsidR="00716D52">
        <w:t xml:space="preserve"> </w:t>
      </w:r>
      <w:r w:rsidRPr="00716D52">
        <w:t>with respect to the su</w:t>
      </w:r>
      <w:r w:rsidR="00716D52">
        <w:t>pport of multi-satellite for S&amp;</w:t>
      </w:r>
      <w:r w:rsidRPr="00716D52">
        <w:t>F operation:</w:t>
      </w:r>
    </w:p>
    <w:tbl>
      <w:tblPr>
        <w:tblStyle w:val="TableGrid"/>
        <w:tblW w:w="0" w:type="auto"/>
        <w:tblLook w:val="04A0" w:firstRow="1" w:lastRow="0" w:firstColumn="1" w:lastColumn="0" w:noHBand="0" w:noVBand="1"/>
      </w:tblPr>
      <w:tblGrid>
        <w:gridCol w:w="9629"/>
      </w:tblGrid>
      <w:tr w:rsidR="001A1AC7" w14:paraId="3BC29715" w14:textId="77777777" w:rsidTr="001A1AC7">
        <w:tc>
          <w:tcPr>
            <w:tcW w:w="9629" w:type="dxa"/>
          </w:tcPr>
          <w:p w14:paraId="189A4AFB" w14:textId="77777777" w:rsidR="001A1AC7" w:rsidRPr="00716D52" w:rsidRDefault="001A1AC7" w:rsidP="001A1AC7">
            <w:pPr>
              <w:rPr>
                <w:rFonts w:eastAsia="DengXian" w:cs="Arial"/>
                <w:lang w:val="en-GB" w:eastAsia="en-GB"/>
              </w:rPr>
            </w:pPr>
            <w:r w:rsidRPr="00716D52">
              <w:rPr>
                <w:rFonts w:eastAsia="DengXian" w:cs="Arial"/>
              </w:rPr>
              <w:t>Question 1b: Does SA2 consider any use cases where multi-satellites can be involved in the S&amp;F operation?</w:t>
            </w:r>
          </w:p>
          <w:p w14:paraId="723B4889" w14:textId="77777777" w:rsidR="001A1AC7" w:rsidRPr="00716D52" w:rsidRDefault="001A1AC7" w:rsidP="001A1AC7">
            <w:pPr>
              <w:pStyle w:val="ListParagraph"/>
              <w:ind w:left="0"/>
              <w:rPr>
                <w:rFonts w:ascii="Times New Roman" w:eastAsia="Times New Roman" w:hAnsi="Times New Roman"/>
              </w:rPr>
            </w:pPr>
          </w:p>
          <w:p w14:paraId="675AA94D" w14:textId="77777777" w:rsidR="001A1AC7" w:rsidRDefault="001A1AC7" w:rsidP="001A1AC7">
            <w:pPr>
              <w:pStyle w:val="ListParagraph"/>
              <w:ind w:left="0"/>
              <w:rPr>
                <w:rFonts w:ascii="Arial" w:hAnsi="Arial" w:cs="Arial"/>
              </w:rPr>
            </w:pPr>
            <w:r w:rsidRPr="00E90A58">
              <w:rPr>
                <w:rFonts w:ascii="Arial" w:eastAsia="DengXian" w:hAnsi="Arial" w:cs="Arial"/>
                <w:b/>
                <w:bCs/>
                <w:highlight w:val="yellow"/>
              </w:rPr>
              <w:t>[SA2 answer]</w:t>
            </w:r>
            <w:r w:rsidRPr="00E90A58">
              <w:rPr>
                <w:rFonts w:ascii="Arial" w:eastAsia="DengXian" w:hAnsi="Arial" w:cs="Arial"/>
                <w:highlight w:val="yellow"/>
              </w:rPr>
              <w:t xml:space="preserve">: </w:t>
            </w:r>
            <w:r w:rsidRPr="00E90A58">
              <w:rPr>
                <w:rFonts w:ascii="Arial" w:hAnsi="Arial" w:cs="Arial"/>
                <w:highlight w:val="yellow"/>
              </w:rPr>
              <w:t>Yes. S&amp;F operation involving multiple satellites of the same PLMN is considered the general case. The use of a single serving satellite would be a particular case</w:t>
            </w:r>
            <w:r w:rsidRPr="00716D52">
              <w:rPr>
                <w:rFonts w:ascii="Arial" w:hAnsi="Arial" w:cs="Arial"/>
              </w:rPr>
              <w:t>.</w:t>
            </w:r>
            <w:r>
              <w:rPr>
                <w:rFonts w:ascii="Arial" w:hAnsi="Arial" w:cs="Arial"/>
              </w:rPr>
              <w:t xml:space="preserve"> </w:t>
            </w:r>
          </w:p>
          <w:p w14:paraId="15D8DDD3" w14:textId="77777777" w:rsidR="001A1AC7" w:rsidRDefault="001A1AC7" w:rsidP="003E459D">
            <w:pPr>
              <w:pStyle w:val="BodyText"/>
            </w:pPr>
          </w:p>
        </w:tc>
      </w:tr>
    </w:tbl>
    <w:p w14:paraId="4522BCEC" w14:textId="77777777" w:rsidR="001A1AC7" w:rsidRDefault="001A1AC7" w:rsidP="003E459D">
      <w:pPr>
        <w:pStyle w:val="BodyText"/>
      </w:pPr>
    </w:p>
    <w:p w14:paraId="2D9DD689" w14:textId="1B3C0576" w:rsidR="00AE2875" w:rsidRDefault="00AE2875" w:rsidP="003E459D">
      <w:pPr>
        <w:pStyle w:val="BodyText"/>
      </w:pPr>
    </w:p>
    <w:p w14:paraId="68AA427A" w14:textId="66C52E84" w:rsidR="00AE2875" w:rsidRDefault="00AE2875" w:rsidP="003E459D">
      <w:pPr>
        <w:pStyle w:val="BodyText"/>
      </w:pPr>
    </w:p>
    <w:p w14:paraId="359662E2" w14:textId="655C4547" w:rsidR="00AE2875" w:rsidRDefault="00AE2875" w:rsidP="003E459D">
      <w:pPr>
        <w:pStyle w:val="BodyText"/>
      </w:pPr>
    </w:p>
    <w:p w14:paraId="1FDA9215" w14:textId="77777777" w:rsidR="00AE2875" w:rsidRDefault="00AE2875" w:rsidP="003E459D">
      <w:pPr>
        <w:pStyle w:val="BodyText"/>
      </w:pPr>
    </w:p>
    <w:p w14:paraId="6F3315C6" w14:textId="2A569745" w:rsidR="00250975" w:rsidRDefault="00250975" w:rsidP="003E459D">
      <w:pPr>
        <w:pStyle w:val="BodyText"/>
      </w:pPr>
      <w:r>
        <w:t>This architecture was reflected in RAN3#125 agreements:</w:t>
      </w:r>
    </w:p>
    <w:tbl>
      <w:tblPr>
        <w:tblStyle w:val="TableGrid"/>
        <w:tblW w:w="0" w:type="auto"/>
        <w:tblLook w:val="04A0" w:firstRow="1" w:lastRow="0" w:firstColumn="1" w:lastColumn="0" w:noHBand="0" w:noVBand="1"/>
      </w:tblPr>
      <w:tblGrid>
        <w:gridCol w:w="9629"/>
      </w:tblGrid>
      <w:tr w:rsidR="00250975" w14:paraId="1F7E4BCA" w14:textId="77777777" w:rsidTr="00250975">
        <w:tc>
          <w:tcPr>
            <w:tcW w:w="9629" w:type="dxa"/>
          </w:tcPr>
          <w:p w14:paraId="5297AABF" w14:textId="0B5A26E3" w:rsidR="00250975" w:rsidRDefault="00250975" w:rsidP="003E459D">
            <w:pPr>
              <w:pStyle w:val="BodyText"/>
            </w:pPr>
            <w:r w:rsidRPr="00250975">
              <w:rPr>
                <w:sz w:val="20"/>
                <w:lang w:eastAsia="ja-JP"/>
              </w:rPr>
              <w:t>RAN3 decides to work on Split MME architecture and Full CN on board architecture. Whether eNB only on board architecture is feasible or not can be discussed later.</w:t>
            </w:r>
          </w:p>
        </w:tc>
      </w:tr>
    </w:tbl>
    <w:p w14:paraId="7B8B2D40" w14:textId="77777777" w:rsidR="00716D52" w:rsidRDefault="00716D52" w:rsidP="00AE2875">
      <w:pPr>
        <w:rPr>
          <w:rFonts w:eastAsiaTheme="minorEastAsia" w:cs="Arial"/>
          <w:lang w:eastAsia="zh-CN"/>
        </w:rPr>
      </w:pPr>
    </w:p>
    <w:p w14:paraId="534EED78" w14:textId="6C3655EC" w:rsidR="00AE2875" w:rsidRDefault="00AE2875" w:rsidP="00AE2875">
      <w:pPr>
        <w:rPr>
          <w:rFonts w:eastAsiaTheme="minorEastAsia" w:cs="Arial"/>
          <w:lang w:eastAsia="zh-CN"/>
        </w:rPr>
      </w:pPr>
      <w:r>
        <w:rPr>
          <w:rFonts w:eastAsiaTheme="minorEastAsia" w:cs="Arial"/>
          <w:lang w:eastAsia="zh-CN"/>
        </w:rPr>
        <w:t>In the last RAN2 meeting following agreements were made related to S&amp;F Satellite operation.</w:t>
      </w:r>
    </w:p>
    <w:p w14:paraId="15F8ED16" w14:textId="77777777" w:rsidR="00AE2875" w:rsidRDefault="00AE2875" w:rsidP="00AE2875">
      <w:pPr>
        <w:pStyle w:val="Doc-text2"/>
        <w:pBdr>
          <w:top w:val="single" w:sz="4" w:space="1" w:color="auto"/>
          <w:left w:val="single" w:sz="4" w:space="4" w:color="auto"/>
          <w:bottom w:val="single" w:sz="4" w:space="1" w:color="auto"/>
          <w:right w:val="single" w:sz="4" w:space="4" w:color="auto"/>
        </w:pBdr>
      </w:pPr>
      <w:r>
        <w:t>Agreements:</w:t>
      </w:r>
    </w:p>
    <w:p w14:paraId="09AC2C54" w14:textId="77777777" w:rsidR="00AE2875" w:rsidRDefault="00AE2875" w:rsidP="00AE2875">
      <w:pPr>
        <w:pStyle w:val="Doc-text2"/>
        <w:pBdr>
          <w:top w:val="single" w:sz="4" w:space="1" w:color="auto"/>
          <w:left w:val="single" w:sz="4" w:space="4"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w:t>
      </w:r>
      <w:r w:rsidRPr="00716D52">
        <w:rPr>
          <w:highlight w:val="yellow"/>
        </w:rPr>
        <w:t>RAN2 will only consider the full CN and spit-MME payload options</w:t>
      </w:r>
      <w:r>
        <w:t>)</w:t>
      </w:r>
    </w:p>
    <w:p w14:paraId="2D2D42FF" w14:textId="77777777" w:rsidR="00AE2875" w:rsidRDefault="00AE2875" w:rsidP="00AE2875">
      <w:pPr>
        <w:pStyle w:val="Doc-text2"/>
        <w:pBdr>
          <w:top w:val="single" w:sz="4" w:space="1" w:color="auto"/>
          <w:left w:val="single" w:sz="4" w:space="4" w:color="auto"/>
          <w:bottom w:val="single" w:sz="4" w:space="1" w:color="auto"/>
          <w:right w:val="single" w:sz="4" w:space="4" w:color="auto"/>
        </w:pBdr>
      </w:pPr>
      <w:r>
        <w:t>2.</w:t>
      </w:r>
      <w:r>
        <w:tab/>
        <w:t>RAN2 will consider both single satellite pass and multiple satellite pass scenarios</w:t>
      </w:r>
    </w:p>
    <w:p w14:paraId="3C6FF81E" w14:textId="77777777" w:rsidR="00AE2875" w:rsidRDefault="00AE2875" w:rsidP="00AE2875">
      <w:pPr>
        <w:pStyle w:val="Doc-text2"/>
        <w:pBdr>
          <w:top w:val="single" w:sz="4" w:space="1" w:color="auto"/>
          <w:left w:val="single" w:sz="4" w:space="4" w:color="auto"/>
          <w:bottom w:val="single" w:sz="4" w:space="1" w:color="auto"/>
          <w:right w:val="single" w:sz="4" w:space="4" w:color="auto"/>
        </w:pBdr>
      </w:pPr>
      <w:r>
        <w:t>3.</w:t>
      </w:r>
      <w:r>
        <w:tab/>
        <w:t xml:space="preserve">RAN2 will consider both </w:t>
      </w:r>
      <w:r w:rsidRPr="004F276B">
        <w:t>MO and MT data within scope</w:t>
      </w:r>
    </w:p>
    <w:p w14:paraId="2E8E7BAE" w14:textId="77777777" w:rsidR="00AE2875" w:rsidRDefault="00AE2875" w:rsidP="00AE2875">
      <w:pPr>
        <w:pStyle w:val="Doc-text2"/>
        <w:pBdr>
          <w:top w:val="single" w:sz="4" w:space="1" w:color="auto"/>
          <w:left w:val="single" w:sz="4" w:space="4" w:color="auto"/>
          <w:bottom w:val="single" w:sz="4" w:space="1" w:color="auto"/>
          <w:right w:val="single" w:sz="4" w:space="4" w:color="auto"/>
        </w:pBdr>
      </w:pPr>
      <w:r>
        <w:t>4.</w:t>
      </w:r>
      <w:r>
        <w:tab/>
      </w:r>
      <w:r w:rsidRPr="00DE61B8">
        <w:t>UE is informed whether its serving satellite is currently operating in S&amp;F v</w:t>
      </w:r>
      <w:r>
        <w:t xml:space="preserve">ia System Information broadcast </w:t>
      </w:r>
      <w:bookmarkStart w:id="3" w:name="_Hlk178526656"/>
      <w:r>
        <w:t>(FFS if we also need a static indication that in general the NW supports the feature)</w:t>
      </w:r>
    </w:p>
    <w:bookmarkEnd w:id="3"/>
    <w:p w14:paraId="2B2B8174" w14:textId="77777777" w:rsidR="00AE2875" w:rsidRDefault="00AE2875" w:rsidP="00AE2875">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3F11FE4E" w14:textId="77777777" w:rsidR="00AE2875" w:rsidRPr="00A03343" w:rsidRDefault="00AE2875" w:rsidP="00AE2875">
      <w:pPr>
        <w:pStyle w:val="Doc-text2"/>
        <w:pBdr>
          <w:top w:val="single" w:sz="4" w:space="1" w:color="auto"/>
          <w:left w:val="single" w:sz="4" w:space="4" w:color="auto"/>
          <w:bottom w:val="single" w:sz="4" w:space="1" w:color="auto"/>
          <w:right w:val="single" w:sz="4" w:space="4" w:color="auto"/>
        </w:pBdr>
      </w:pPr>
      <w:r>
        <w:t>7.</w:t>
      </w:r>
      <w:r>
        <w:tab/>
        <w:t>RAN2 agrees there will be a way to bar legacy UEs (using legacy cellBarred and/or cellBarred-NTN bit) and still allow R19 S&amp;F capable UEs. FFS on the exact solution (e.g. new barring bits or whether this is linked to some other indication)</w:t>
      </w:r>
    </w:p>
    <w:p w14:paraId="3055D4E6" w14:textId="77777777" w:rsidR="00AE2875" w:rsidRDefault="00AE2875" w:rsidP="00AE2875">
      <w:pPr>
        <w:pStyle w:val="Doc-text2"/>
        <w:pBdr>
          <w:top w:val="single" w:sz="4" w:space="1" w:color="auto"/>
          <w:left w:val="single" w:sz="4" w:space="4" w:color="auto"/>
          <w:bottom w:val="single" w:sz="4" w:space="1" w:color="auto"/>
          <w:right w:val="single" w:sz="4" w:space="4" w:color="auto"/>
        </w:pBdr>
        <w:rPr>
          <w:rFonts w:eastAsiaTheme="minorEastAsia" w:cs="Arial"/>
          <w:szCs w:val="20"/>
          <w:lang w:eastAsia="zh-CN"/>
        </w:rPr>
      </w:pPr>
    </w:p>
    <w:p w14:paraId="55986B08" w14:textId="54A1EB7B" w:rsidR="00AE2875" w:rsidRDefault="00AE2875" w:rsidP="003E459D">
      <w:pPr>
        <w:pStyle w:val="BodyText"/>
      </w:pPr>
    </w:p>
    <w:p w14:paraId="09460242" w14:textId="55E9E320" w:rsidR="00052204" w:rsidRPr="00CE0424" w:rsidRDefault="001B1C9D" w:rsidP="003E459D">
      <w:pPr>
        <w:pStyle w:val="BodyText"/>
      </w:pPr>
      <w:r>
        <w:t>In this contribution we discuss the store and forward operation</w:t>
      </w:r>
      <w:r w:rsidR="009F1087">
        <w:t>s with multiple satellite and the impact on S1.</w:t>
      </w:r>
    </w:p>
    <w:p w14:paraId="19F42AE6" w14:textId="7456B314" w:rsidR="003E459D" w:rsidRPr="00716D52" w:rsidRDefault="003E459D" w:rsidP="003E459D">
      <w:pPr>
        <w:pStyle w:val="Heading1"/>
        <w:rPr>
          <w:lang w:val="en-US"/>
        </w:rPr>
      </w:pPr>
      <w:r w:rsidRPr="00716D52">
        <w:rPr>
          <w:lang w:val="en-US"/>
        </w:rPr>
        <w:t>2</w:t>
      </w:r>
      <w:r w:rsidRPr="00716D52">
        <w:rPr>
          <w:lang w:val="en-US"/>
        </w:rPr>
        <w:tab/>
        <w:t>Discussion</w:t>
      </w:r>
      <w:bookmarkEnd w:id="2"/>
    </w:p>
    <w:p w14:paraId="6B157B6F" w14:textId="0637F074" w:rsidR="00E678A9" w:rsidRDefault="00E678A9">
      <w:pPr>
        <w:pStyle w:val="Heading2"/>
      </w:pPr>
      <w:r>
        <w:t xml:space="preserve">2.1 </w:t>
      </w:r>
      <w:r w:rsidR="001A1AC7">
        <w:t>A</w:t>
      </w:r>
      <w:r>
        <w:t>rchitectur</w:t>
      </w:r>
      <w:r w:rsidR="001A1AC7">
        <w:t>e aspects</w:t>
      </w:r>
      <w:r>
        <w:t xml:space="preserve"> for Store-and-Forward operations</w:t>
      </w:r>
    </w:p>
    <w:p w14:paraId="17F03617" w14:textId="2ED0B676" w:rsidR="001A1AC7" w:rsidRPr="00716D52" w:rsidRDefault="001A1AC7" w:rsidP="001A1AC7">
      <w:pPr>
        <w:rPr>
          <w:b/>
          <w:lang w:val="en-GB"/>
        </w:rPr>
      </w:pPr>
      <w:r w:rsidRPr="00716D52">
        <w:rPr>
          <w:b/>
          <w:bCs/>
          <w:lang w:val="en-GB"/>
        </w:rPr>
        <w:t>Observation 1</w:t>
      </w:r>
      <w:r w:rsidR="00716D52">
        <w:rPr>
          <w:b/>
          <w:lang w:val="en-GB"/>
        </w:rPr>
        <w:tab/>
      </w:r>
      <w:r w:rsidRPr="00716D52">
        <w:rPr>
          <w:b/>
          <w:lang w:val="en-GB"/>
        </w:rPr>
        <w:t xml:space="preserve"> According to the agreements in RAN3 and other groups pointed in the introduction, support for S&amp;F Satellite operation is based on:</w:t>
      </w:r>
    </w:p>
    <w:p w14:paraId="3E3A7741" w14:textId="41B686C9" w:rsidR="001A1AC7" w:rsidRPr="00716D52" w:rsidRDefault="001A1AC7" w:rsidP="001A1AC7">
      <w:pPr>
        <w:pStyle w:val="ListParagraph"/>
        <w:numPr>
          <w:ilvl w:val="0"/>
          <w:numId w:val="55"/>
        </w:numPr>
        <w:rPr>
          <w:b/>
          <w:lang w:val="en-GB"/>
        </w:rPr>
      </w:pPr>
      <w:r w:rsidRPr="00716D52">
        <w:rPr>
          <w:b/>
          <w:lang w:val="en-GB"/>
        </w:rPr>
        <w:t>An architecture where the eNB and part of, or all, CN functions are onboard the satellite</w:t>
      </w:r>
    </w:p>
    <w:p w14:paraId="2A95F1A1" w14:textId="2BA53E10" w:rsidR="001A1AC7" w:rsidRPr="00716D52" w:rsidRDefault="001A1AC7" w:rsidP="00716D52">
      <w:pPr>
        <w:pStyle w:val="ListParagraph"/>
        <w:numPr>
          <w:ilvl w:val="0"/>
          <w:numId w:val="55"/>
        </w:numPr>
        <w:rPr>
          <w:b/>
          <w:lang w:val="en-GB"/>
        </w:rPr>
      </w:pPr>
      <w:r w:rsidRPr="00716D52">
        <w:rPr>
          <w:b/>
          <w:lang w:val="en-GB"/>
        </w:rPr>
        <w:t>S&amp;F operation involving multiple satellites of the same PLMN is considered the general case. The use of a single serving satellite would be a particular case</w:t>
      </w:r>
    </w:p>
    <w:p w14:paraId="1C72F81C" w14:textId="77777777" w:rsidR="001A1AC7" w:rsidRPr="00716D52" w:rsidRDefault="001A1AC7" w:rsidP="001A1AC7">
      <w:pPr>
        <w:rPr>
          <w:lang w:val="en-GB"/>
        </w:rPr>
      </w:pPr>
    </w:p>
    <w:p w14:paraId="0945F5B2" w14:textId="77777777" w:rsidR="001A1AC7" w:rsidRPr="00716D52" w:rsidRDefault="001A1AC7" w:rsidP="001A1AC7">
      <w:pPr>
        <w:rPr>
          <w:lang w:val="en-GB"/>
        </w:rPr>
      </w:pPr>
    </w:p>
    <w:p w14:paraId="045C897D" w14:textId="77777777" w:rsidR="006709D0" w:rsidRPr="00E678A9" w:rsidRDefault="006709D0">
      <w:pPr>
        <w:rPr>
          <w:lang w:eastAsia="en-GB"/>
        </w:rPr>
      </w:pPr>
    </w:p>
    <w:p w14:paraId="2A066D16" w14:textId="338D751B" w:rsidR="007D1D9D" w:rsidRDefault="007D1D9D" w:rsidP="007D1D9D">
      <w:pPr>
        <w:keepNext/>
        <w:jc w:val="center"/>
      </w:pPr>
      <w:r>
        <w:rPr>
          <w:noProof/>
          <w:lang w:eastAsia="en-US"/>
        </w:rPr>
        <w:lastRenderedPageBreak/>
        <mc:AlternateContent>
          <mc:Choice Requires="wps">
            <w:drawing>
              <wp:anchor distT="0" distB="0" distL="114300" distR="114300" simplePos="0" relativeHeight="251657216" behindDoc="0" locked="0" layoutInCell="1" allowOverlap="1" wp14:anchorId="54D26C7E" wp14:editId="65EBC42B">
                <wp:simplePos x="0" y="0"/>
                <wp:positionH relativeFrom="column">
                  <wp:posOffset>4887844</wp:posOffset>
                </wp:positionH>
                <wp:positionV relativeFrom="paragraph">
                  <wp:posOffset>520933</wp:posOffset>
                </wp:positionV>
                <wp:extent cx="295147" cy="567160"/>
                <wp:effectExtent l="0" t="0" r="29210" b="23495"/>
                <wp:wrapNone/>
                <wp:docPr id="1" name="Straight Connector 1"/>
                <wp:cNvGraphicFramePr/>
                <a:graphic xmlns:a="http://schemas.openxmlformats.org/drawingml/2006/main">
                  <a:graphicData uri="http://schemas.microsoft.com/office/word/2010/wordprocessingShape">
                    <wps:wsp>
                      <wps:cNvCnPr/>
                      <wps:spPr>
                        <a:xfrm flipV="1">
                          <a:off x="0" y="0"/>
                          <a:ext cx="295147" cy="567160"/>
                        </a:xfrm>
                        <a:prstGeom prst="line">
                          <a:avLst/>
                        </a:prstGeom>
                        <a:ln w="190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D64323" id="Straight Connector 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85pt,41pt" to="408.1pt,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" strokecolor="#2f5496 [2404]" strokeweight="1.5pt">
                <v:stroke joinstyle="miter"/>
              </v:line>
            </w:pict>
          </mc:Fallback>
        </mc:AlternateContent>
      </w:r>
      <w:r>
        <w:rPr>
          <w:noProof/>
          <w:lang w:eastAsia="en-US"/>
        </w:rPr>
        <w:drawing>
          <wp:inline distT="0" distB="0" distL="0" distR="0" wp14:anchorId="678910C2" wp14:editId="20D19112">
            <wp:extent cx="5622877" cy="2146025"/>
            <wp:effectExtent l="0" t="0" r="0" b="0"/>
            <wp:docPr id="16" name="Picture 16" descr="Fig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Fig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6845" cy="2151356"/>
                    </a:xfrm>
                    <a:prstGeom prst="rect">
                      <a:avLst/>
                    </a:prstGeom>
                    <a:noFill/>
                    <a:ln>
                      <a:noFill/>
                    </a:ln>
                  </pic:spPr>
                </pic:pic>
              </a:graphicData>
            </a:graphic>
          </wp:inline>
        </w:drawing>
      </w:r>
    </w:p>
    <w:p w14:paraId="7852AD84" w14:textId="3219A5BD" w:rsidR="007D1D9D" w:rsidRDefault="007D1D9D" w:rsidP="007D1D9D">
      <w:pPr>
        <w:pStyle w:val="Caption"/>
        <w:jc w:val="center"/>
      </w:pPr>
      <w:r>
        <w:t xml:space="preserve">Figure </w:t>
      </w:r>
      <w:r w:rsidR="00CA32D6">
        <w:t xml:space="preserve">1 </w:t>
      </w:r>
      <w:r>
        <w:t>- Discontinuous coverage and Store-and-forward examples (extracted and modified from R2-2403337)</w:t>
      </w:r>
    </w:p>
    <w:p w14:paraId="2B8F360C" w14:textId="1A086B4B" w:rsidR="00CA32D6" w:rsidRDefault="00CA32D6" w:rsidP="00CA32D6">
      <w:pPr>
        <w:rPr>
          <w:lang w:eastAsia="en-GB"/>
        </w:rPr>
      </w:pPr>
      <w:r>
        <w:rPr>
          <w:lang w:eastAsia="en-GB"/>
        </w:rPr>
        <w:t>Store and Forward operations are particularly useful when the number of gateway to connect to the ground is limited. As illustrated in the Figure 1-c, satellite</w:t>
      </w:r>
      <w:r w:rsidR="009573DF">
        <w:rPr>
          <w:lang w:eastAsia="en-GB"/>
        </w:rPr>
        <w:t>s</w:t>
      </w:r>
      <w:r>
        <w:rPr>
          <w:lang w:eastAsia="en-GB"/>
        </w:rPr>
        <w:t xml:space="preserve"> can operate in S&amp;F because the feeder link is unavailable but</w:t>
      </w:r>
      <w:r w:rsidR="009573DF">
        <w:rPr>
          <w:lang w:eastAsia="en-GB"/>
        </w:rPr>
        <w:t xml:space="preserve"> connected to each other through ISL. It brings more resiliency to the system, since the data can be distributed between satellites in the constellation by routing and can then support longer feeder link interruption for non-delay tolerant data. Also, a satellite when its buffer is full can store data on another neighbour satellite. The need for a communication infrastructure resilient to feeder-link momentarily unavailable is also stated in [7], “the connection between the satellite and the rest of the NB-IoT network functional elements is not guaranteed over time. […] As a consequence, the whole architecture shall be designed in order to allow NTN terminals to exchange data with satellites, even in the temporary absence of the feeder-link”.</w:t>
      </w:r>
    </w:p>
    <w:p w14:paraId="5F3422A0" w14:textId="37A0AD88" w:rsidR="00CA32D6" w:rsidRPr="006709D0" w:rsidRDefault="00CA32D6" w:rsidP="00CA32D6">
      <w:pPr>
        <w:rPr>
          <w:lang w:eastAsia="en-GB"/>
        </w:rPr>
      </w:pPr>
      <w:r w:rsidRPr="001E5E2F">
        <w:rPr>
          <w:lang w:eastAsia="en-GB"/>
        </w:rPr>
        <w:t xml:space="preserve">Note that the revisit time with a single satellite in typical LEO orbits may be around 12h or longer </w:t>
      </w:r>
      <w:r>
        <w:rPr>
          <w:lang w:eastAsia="en-GB"/>
        </w:rPr>
        <w:t>[9]</w:t>
      </w:r>
      <w:r w:rsidRPr="001E5E2F">
        <w:rPr>
          <w:lang w:eastAsia="en-GB"/>
        </w:rPr>
        <w:t>. Therefore, restricting the solution to single-satellite would mean that a UE wil</w:t>
      </w:r>
      <w:r w:rsidR="009573DF">
        <w:rPr>
          <w:lang w:eastAsia="en-GB"/>
        </w:rPr>
        <w:t>l</w:t>
      </w:r>
      <w:r w:rsidRPr="001E5E2F">
        <w:rPr>
          <w:lang w:eastAsia="en-GB"/>
        </w:rPr>
        <w:t xml:space="preserve"> only be able to send/receive data e.g. twice a day on average.</w:t>
      </w:r>
      <w:r>
        <w:rPr>
          <w:lang w:eastAsia="en-GB"/>
        </w:rPr>
        <w:t xml:space="preserve"> This case is even reinforced for a moving UE.</w:t>
      </w:r>
    </w:p>
    <w:p w14:paraId="77CB8E72" w14:textId="4F4BE9A1" w:rsidR="00CA32D6" w:rsidRDefault="00CA32D6" w:rsidP="004B46C9">
      <w:pPr>
        <w:rPr>
          <w:lang w:eastAsia="en-GB"/>
        </w:rPr>
      </w:pPr>
      <w:r>
        <w:rPr>
          <w:lang w:eastAsia="en-GB"/>
        </w:rPr>
        <w:t>Therefore, the support of a S</w:t>
      </w:r>
      <w:r w:rsidRPr="006709D0">
        <w:rPr>
          <w:lang w:eastAsia="en-GB"/>
        </w:rPr>
        <w:t xml:space="preserve">tore and </w:t>
      </w:r>
      <w:r>
        <w:rPr>
          <w:lang w:eastAsia="en-GB"/>
        </w:rPr>
        <w:t>F</w:t>
      </w:r>
      <w:r w:rsidRPr="006709D0">
        <w:rPr>
          <w:lang w:eastAsia="en-GB"/>
        </w:rPr>
        <w:t xml:space="preserve">orward </w:t>
      </w:r>
      <w:r>
        <w:rPr>
          <w:lang w:eastAsia="en-GB"/>
        </w:rPr>
        <w:t xml:space="preserve">Satellite operation solution able to serve a UE via multiple satellites (in other words, not restricting the interaction of a UE and the network to a single satellite of the constellation) </w:t>
      </w:r>
      <w:r w:rsidRPr="006709D0">
        <w:rPr>
          <w:lang w:eastAsia="en-GB"/>
        </w:rPr>
        <w:t xml:space="preserve">should be considered in the architecture </w:t>
      </w:r>
      <w:r>
        <w:rPr>
          <w:lang w:eastAsia="en-GB"/>
        </w:rPr>
        <w:t xml:space="preserve">from the beginning. This is referred in the following as multi-satellite S&amp;F. </w:t>
      </w:r>
      <w:r w:rsidR="008560B1">
        <w:rPr>
          <w:lang w:eastAsia="en-GB"/>
        </w:rPr>
        <w:t xml:space="preserve">SA2 already considered the support of multi-satellite </w:t>
      </w:r>
      <w:r w:rsidR="00716D52">
        <w:rPr>
          <w:lang w:eastAsia="en-GB"/>
        </w:rPr>
        <w:t>[10]</w:t>
      </w:r>
      <w:r w:rsidR="009F1087">
        <w:rPr>
          <w:lang w:eastAsia="en-GB"/>
        </w:rPr>
        <w:t xml:space="preserve"> </w:t>
      </w:r>
      <w:r w:rsidR="008560B1">
        <w:rPr>
          <w:lang w:eastAsia="en-GB"/>
        </w:rPr>
        <w:t>for the same PLMN.</w:t>
      </w:r>
    </w:p>
    <w:p w14:paraId="4FA9CBE3" w14:textId="74E78549" w:rsidR="00E747E7" w:rsidRDefault="00A27143" w:rsidP="00716D52">
      <w:pPr>
        <w:pStyle w:val="Observation"/>
        <w:numPr>
          <w:ilvl w:val="0"/>
          <w:numId w:val="0"/>
        </w:numPr>
      </w:pPr>
      <w:r>
        <w:t>Proposal 1</w:t>
      </w:r>
      <w:r>
        <w:tab/>
        <w:t xml:space="preserve">RAN3 aligns with SA2 that </w:t>
      </w:r>
      <w:r w:rsidRPr="00716D52">
        <w:rPr>
          <w:rFonts w:cs="Arial"/>
        </w:rPr>
        <w:t xml:space="preserve">S&amp;F operation involving multiple satellites of the same PLMN is considered the general case. The use of a single serving satellite would be a particular case. </w:t>
      </w:r>
      <w:r>
        <w:rPr>
          <w:rFonts w:cs="Arial"/>
        </w:rPr>
        <w:t>RAN3 considers this to drive the work on the signaling.</w:t>
      </w:r>
    </w:p>
    <w:p w14:paraId="5A13352E" w14:textId="60F1A5BF" w:rsidR="00CB4659" w:rsidRDefault="00E678A9" w:rsidP="00716D52">
      <w:pPr>
        <w:pStyle w:val="Heading2"/>
        <w:rPr>
          <w:lang w:eastAsia="en-GB"/>
        </w:rPr>
      </w:pPr>
      <w:r>
        <w:rPr>
          <w:lang w:eastAsia="en-GB"/>
        </w:rPr>
        <w:t xml:space="preserve">2.2 </w:t>
      </w:r>
      <w:r w:rsidR="00CB4659">
        <w:rPr>
          <w:lang w:eastAsia="en-GB"/>
        </w:rPr>
        <w:t>Impact on S1 interface</w:t>
      </w:r>
    </w:p>
    <w:p w14:paraId="05B3D615" w14:textId="7CCF498C" w:rsidR="00CB4659" w:rsidRDefault="00C72D1C" w:rsidP="00C72D1C">
      <w:r>
        <w:rPr>
          <w:noProof/>
          <w:lang w:eastAsia="en-US"/>
        </w:rPr>
        <w:t>The</w:t>
      </w:r>
      <w:r w:rsidR="0078027A">
        <w:rPr>
          <w:lang w:eastAsia="en-GB"/>
        </w:rPr>
        <w:t xml:space="preserve"> full CN onboard architecture</w:t>
      </w:r>
      <w:r>
        <w:rPr>
          <w:lang w:eastAsia="en-GB"/>
        </w:rPr>
        <w:t xml:space="preserve"> (</w:t>
      </w:r>
      <w:r>
        <w:t>eNB, MME, SGW, PGW, HSS, E-SMLC, SMSC, etc…)</w:t>
      </w:r>
      <w:r w:rsidR="00DA0A1E">
        <w:t xml:space="preserve"> supports both UP and CP CIoT service. The architecture</w:t>
      </w:r>
      <w:r>
        <w:t xml:space="preserve"> is depicted on the Figure below</w:t>
      </w:r>
      <w:r w:rsidR="009F1087">
        <w:t xml:space="preserve"> [</w:t>
      </w:r>
      <w:r w:rsidR="00095636">
        <w:t>11]</w:t>
      </w:r>
      <w:r>
        <w:t>:</w:t>
      </w:r>
    </w:p>
    <w:p w14:paraId="197B469D" w14:textId="1C308E94" w:rsidR="00C72D1C" w:rsidRDefault="00C72D1C" w:rsidP="00C72D1C">
      <w:pPr>
        <w:rPr>
          <w:lang w:eastAsia="en-GB"/>
        </w:rPr>
      </w:pPr>
    </w:p>
    <w:p w14:paraId="29E97118" w14:textId="0DDA8508" w:rsidR="00C72D1C" w:rsidRDefault="00E747E7" w:rsidP="00C72D1C">
      <w:pPr>
        <w:keepNext/>
      </w:pPr>
      <w:r>
        <w:rPr>
          <w:noProof/>
          <w:lang w:eastAsia="en-US"/>
        </w:rPr>
        <mc:AlternateContent>
          <mc:Choice Requires="wps">
            <w:drawing>
              <wp:anchor distT="0" distB="0" distL="114300" distR="114300" simplePos="0" relativeHeight="251669504" behindDoc="0" locked="0" layoutInCell="1" allowOverlap="1" wp14:anchorId="1506A10C" wp14:editId="1F38445C">
                <wp:simplePos x="0" y="0"/>
                <wp:positionH relativeFrom="column">
                  <wp:posOffset>222710</wp:posOffset>
                </wp:positionH>
                <wp:positionV relativeFrom="paragraph">
                  <wp:posOffset>25162</wp:posOffset>
                </wp:positionV>
                <wp:extent cx="3931920" cy="1426137"/>
                <wp:effectExtent l="19050" t="19050" r="11430" b="22225"/>
                <wp:wrapNone/>
                <wp:docPr id="12" name="Rectangle 12"/>
                <wp:cNvGraphicFramePr/>
                <a:graphic xmlns:a="http://schemas.openxmlformats.org/drawingml/2006/main">
                  <a:graphicData uri="http://schemas.microsoft.com/office/word/2010/wordprocessingShape">
                    <wps:wsp>
                      <wps:cNvSpPr/>
                      <wps:spPr>
                        <a:xfrm>
                          <a:off x="0" y="0"/>
                          <a:ext cx="3931920" cy="1426137"/>
                        </a:xfrm>
                        <a:prstGeom prst="rect">
                          <a:avLst/>
                        </a:prstGeom>
                        <a:noFill/>
                        <a:ln w="28575">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D6123EC" id="Rectangle 12" o:spid="_x0000_s1026" style="position:absolute;margin-left:17.55pt;margin-top:2pt;width:309.6pt;height:112.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" filled="f" strokecolor="#002060" strokeweight="2.25pt"/>
            </w:pict>
          </mc:Fallback>
        </mc:AlternateContent>
      </w:r>
      <w:r w:rsidR="00C72D1C">
        <w:rPr>
          <w:noProof/>
          <w:lang w:eastAsia="en-US"/>
        </w:rPr>
        <mc:AlternateContent>
          <mc:Choice Requires="wps">
            <w:drawing>
              <wp:anchor distT="0" distB="0" distL="114300" distR="114300" simplePos="0" relativeHeight="251670528" behindDoc="0" locked="0" layoutInCell="1" allowOverlap="1" wp14:anchorId="75A52D57" wp14:editId="18931B06">
                <wp:simplePos x="0" y="0"/>
                <wp:positionH relativeFrom="column">
                  <wp:posOffset>436729</wp:posOffset>
                </wp:positionH>
                <wp:positionV relativeFrom="paragraph">
                  <wp:posOffset>24615</wp:posOffset>
                </wp:positionV>
                <wp:extent cx="914400" cy="243135"/>
                <wp:effectExtent l="0" t="0" r="0" b="5080"/>
                <wp:wrapNone/>
                <wp:docPr id="14" name="Text Box 14"/>
                <wp:cNvGraphicFramePr/>
                <a:graphic xmlns:a="http://schemas.openxmlformats.org/drawingml/2006/main">
                  <a:graphicData uri="http://schemas.microsoft.com/office/word/2010/wordprocessingShape">
                    <wps:wsp>
                      <wps:cNvSpPr txBox="1"/>
                      <wps:spPr>
                        <a:xfrm>
                          <a:off x="0" y="0"/>
                          <a:ext cx="914400" cy="243135"/>
                        </a:xfrm>
                        <a:prstGeom prst="rect">
                          <a:avLst/>
                        </a:prstGeom>
                        <a:noFill/>
                        <a:ln w="6350">
                          <a:noFill/>
                        </a:ln>
                      </wps:spPr>
                      <wps:txbx>
                        <w:txbxContent>
                          <w:p w14:paraId="43721B46" w14:textId="33D4F88F" w:rsidR="00A27143" w:rsidRPr="00C72D1C" w:rsidRDefault="00A27143">
                            <w:pPr>
                              <w:rPr>
                                <w:color w:val="002060"/>
                                <w:lang w:val="fr-FR"/>
                                <w14:textOutline w14:w="9525" w14:cap="rnd" w14:cmpd="sng" w14:algn="ctr">
                                  <w14:noFill/>
                                  <w14:prstDash w14:val="solid"/>
                                  <w14:bevel/>
                                </w14:textOutline>
                              </w:rPr>
                            </w:pPr>
                            <w:r w:rsidRPr="00C72D1C">
                              <w:rPr>
                                <w:color w:val="002060"/>
                                <w:lang w:val="fr-FR"/>
                                <w14:textOutline w14:w="9525" w14:cap="rnd" w14:cmpd="sng" w14:algn="ctr">
                                  <w14:noFill/>
                                  <w14:prstDash w14:val="solid"/>
                                  <w14:bevel/>
                                </w14:textOutline>
                              </w:rPr>
                              <w:t>NTN payload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5A52D57" id="_x0000_t202" coordsize="21600,21600" o:spt="202" path="m,l,21600r21600,l21600,xe">
                <v:stroke joinstyle="miter"/>
                <v:path gradientshapeok="t" o:connecttype="rect"/>
              </v:shapetype>
              <v:shape id="Text Box 14" o:spid="_x0000_s1026" type="#_x0000_t202" style="position:absolute;left:0;text-align:left;margin-left:34.4pt;margin-top:1.95pt;width:1in;height:19.15pt;z-index:25167052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" filled="f" stroked="f" strokeweight=".5pt">
                <v:textbox>
                  <w:txbxContent>
                    <w:p w14:paraId="43721B46" w14:textId="33D4F88F" w:rsidR="00A27143" w:rsidRPr="00C72D1C" w:rsidRDefault="00A27143">
                      <w:pPr>
                        <w:rPr>
                          <w:color w:val="002060"/>
                          <w:lang w:val="fr-FR"/>
                          <w14:textOutline w14:w="9525" w14:cap="rnd" w14:cmpd="sng" w14:algn="ctr">
                            <w14:noFill/>
                            <w14:prstDash w14:val="solid"/>
                            <w14:bevel/>
                          </w14:textOutline>
                        </w:rPr>
                      </w:pPr>
                      <w:r w:rsidRPr="00C72D1C">
                        <w:rPr>
                          <w:color w:val="002060"/>
                          <w:lang w:val="fr-FR"/>
                          <w14:textOutline w14:w="9525" w14:cap="rnd" w14:cmpd="sng" w14:algn="ctr">
                            <w14:noFill/>
                            <w14:prstDash w14:val="solid"/>
                            <w14:bevel/>
                          </w14:textOutline>
                        </w:rPr>
                        <w:t xml:space="preserve">NTN </w:t>
                      </w:r>
                      <w:proofErr w:type="spellStart"/>
                      <w:r w:rsidRPr="00C72D1C">
                        <w:rPr>
                          <w:color w:val="002060"/>
                          <w:lang w:val="fr-FR"/>
                          <w14:textOutline w14:w="9525" w14:cap="rnd" w14:cmpd="sng" w14:algn="ctr">
                            <w14:noFill/>
                            <w14:prstDash w14:val="solid"/>
                            <w14:bevel/>
                          </w14:textOutline>
                        </w:rPr>
                        <w:t>payload</w:t>
                      </w:r>
                      <w:proofErr w:type="spellEnd"/>
                    </w:p>
                  </w:txbxContent>
                </v:textbox>
              </v:shape>
            </w:pict>
          </mc:Fallback>
        </mc:AlternateContent>
      </w:r>
      <w:r w:rsidR="00C72D1C">
        <w:rPr>
          <w:noProof/>
          <w:lang w:eastAsia="en-US"/>
        </w:rPr>
        <mc:AlternateContent>
          <mc:Choice Requires="wps">
            <w:drawing>
              <wp:anchor distT="0" distB="0" distL="114300" distR="114300" simplePos="0" relativeHeight="251668480" behindDoc="0" locked="0" layoutInCell="1" allowOverlap="1" wp14:anchorId="65148574" wp14:editId="30C29E1F">
                <wp:simplePos x="0" y="0"/>
                <wp:positionH relativeFrom="column">
                  <wp:posOffset>4633632</wp:posOffset>
                </wp:positionH>
                <wp:positionV relativeFrom="paragraph">
                  <wp:posOffset>918845</wp:posOffset>
                </wp:positionV>
                <wp:extent cx="343561" cy="486271"/>
                <wp:effectExtent l="0" t="0" r="18415" b="28575"/>
                <wp:wrapNone/>
                <wp:docPr id="11" name="Text Box 11"/>
                <wp:cNvGraphicFramePr/>
                <a:graphic xmlns:a="http://schemas.openxmlformats.org/drawingml/2006/main">
                  <a:graphicData uri="http://schemas.microsoft.com/office/word/2010/wordprocessingShape">
                    <wps:wsp>
                      <wps:cNvSpPr txBox="1"/>
                      <wps:spPr>
                        <a:xfrm>
                          <a:off x="0" y="0"/>
                          <a:ext cx="343561" cy="486271"/>
                        </a:xfrm>
                        <a:prstGeom prst="rect">
                          <a:avLst/>
                        </a:prstGeom>
                        <a:solidFill>
                          <a:schemeClr val="bg1"/>
                        </a:solidFill>
                        <a:ln w="12700">
                          <a:solidFill>
                            <a:srgbClr val="002060"/>
                          </a:solidFill>
                        </a:ln>
                      </wps:spPr>
                      <wps:txbx>
                        <w:txbxContent>
                          <w:p w14:paraId="3C4EA3B5" w14:textId="2939DE49" w:rsidR="00A27143" w:rsidRPr="00C72D1C" w:rsidRDefault="00A27143">
                            <w:pPr>
                              <w:rPr>
                                <w:lang w:val="fr-FR"/>
                              </w:rPr>
                            </w:pPr>
                            <w:r>
                              <w:rPr>
                                <w:lang w:val="fr-FR"/>
                              </w:rPr>
                              <w:t>proxy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148574" id="Text Box 11" o:spid="_x0000_s1027" type="#_x0000_t202" style="position:absolute;left:0;text-align:left;margin-left:364.85pt;margin-top:72.35pt;width:27.05pt;height:38.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" fillcolor="white [3212]" strokecolor="#002060" strokeweight="1pt">
                <v:textbox style="layout-flow:vertical;mso-layout-flow-alt:bottom-to-top">
                  <w:txbxContent>
                    <w:p w14:paraId="3C4EA3B5" w14:textId="2939DE49" w:rsidR="00A27143" w:rsidRPr="00C72D1C" w:rsidRDefault="00A27143">
                      <w:pPr>
                        <w:rPr>
                          <w:lang w:val="fr-FR"/>
                        </w:rPr>
                      </w:pPr>
                      <w:proofErr w:type="gramStart"/>
                      <w:r>
                        <w:rPr>
                          <w:lang w:val="fr-FR"/>
                        </w:rPr>
                        <w:t>proxy</w:t>
                      </w:r>
                      <w:proofErr w:type="gramEnd"/>
                    </w:p>
                  </w:txbxContent>
                </v:textbox>
              </v:shape>
            </w:pict>
          </mc:Fallback>
        </mc:AlternateContent>
      </w:r>
      <w:r w:rsidR="00C72D1C">
        <w:rPr>
          <w:noProof/>
          <w:lang w:eastAsia="en-US"/>
        </w:rPr>
        <mc:AlternateContent>
          <mc:Choice Requires="wpg">
            <w:drawing>
              <wp:anchor distT="0" distB="0" distL="114300" distR="114300" simplePos="0" relativeHeight="251666432" behindDoc="0" locked="0" layoutInCell="1" allowOverlap="1" wp14:anchorId="19652C93" wp14:editId="6A24D24E">
                <wp:simplePos x="0" y="0"/>
                <wp:positionH relativeFrom="column">
                  <wp:posOffset>744007</wp:posOffset>
                </wp:positionH>
                <wp:positionV relativeFrom="paragraph">
                  <wp:posOffset>4151</wp:posOffset>
                </wp:positionV>
                <wp:extent cx="3557175" cy="1511667"/>
                <wp:effectExtent l="0" t="0" r="24765" b="12700"/>
                <wp:wrapNone/>
                <wp:docPr id="9" name="Group 9"/>
                <wp:cNvGraphicFramePr/>
                <a:graphic xmlns:a="http://schemas.openxmlformats.org/drawingml/2006/main">
                  <a:graphicData uri="http://schemas.microsoft.com/office/word/2010/wordprocessingGroup">
                    <wpg:wgp>
                      <wpg:cNvGrpSpPr/>
                      <wpg:grpSpPr>
                        <a:xfrm>
                          <a:off x="0" y="0"/>
                          <a:ext cx="3557175" cy="1511667"/>
                          <a:chOff x="0" y="0"/>
                          <a:chExt cx="3557175" cy="1511667"/>
                        </a:xfrm>
                      </wpg:grpSpPr>
                      <wpg:grpSp>
                        <wpg:cNvPr id="6" name="Group 6"/>
                        <wpg:cNvGrpSpPr/>
                        <wpg:grpSpPr>
                          <a:xfrm>
                            <a:off x="0" y="0"/>
                            <a:ext cx="2637367" cy="977900"/>
                            <a:chOff x="0" y="0"/>
                            <a:chExt cx="2637367" cy="977900"/>
                          </a:xfrm>
                        </wpg:grpSpPr>
                        <wps:wsp>
                          <wps:cNvPr id="3" name="Rectangle 3"/>
                          <wps:cNvSpPr/>
                          <wps:spPr>
                            <a:xfrm>
                              <a:off x="0" y="0"/>
                              <a:ext cx="1290955" cy="35094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167467" y="0"/>
                              <a:ext cx="469900" cy="8636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803400" y="774700"/>
                              <a:ext cx="618067" cy="203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Rectangle 7"/>
                        <wps:cNvSpPr/>
                        <wps:spPr>
                          <a:xfrm>
                            <a:off x="2944051" y="1310817"/>
                            <a:ext cx="613124" cy="2008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532D9BE" id="Group 9" o:spid="_x0000_s1026" style="position:absolute;margin-left:58.6pt;margin-top:.35pt;width:280.1pt;height:119.05pt;z-index:251666432" coordsize="35571,15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">
                <v:group id="Group 6" o:spid="_x0000_s1027" style="position:absolute;width:26373;height:9779" coordsize="26373,9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3" o:spid="_x0000_s1028" style="position:absolute;width:12909;height:3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" fillcolor="white [3212]" strokecolor="white [3212]" strokeweight="1pt"/>
                  <v:rect id="Rectangle 4" o:spid="_x0000_s1029" style="position:absolute;left:21674;width:4699;height:86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" fillcolor="white [3212]" strokecolor="white [3212]" strokeweight="1pt"/>
                  <v:rect id="Rectangle 5" o:spid="_x0000_s1030" style="position:absolute;left:18034;top:7747;width:6180;height:2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" fillcolor="white [3212]" strokecolor="white [3212]" strokeweight="1pt"/>
                </v:group>
                <v:rect id="Rectangle 7" o:spid="_x0000_s1031" style="position:absolute;left:29440;top:13108;width:613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" fillcolor="white [3212]" strokecolor="white [3212]" strokeweight="1pt"/>
              </v:group>
            </w:pict>
          </mc:Fallback>
        </mc:AlternateContent>
      </w:r>
      <w:r w:rsidR="0078027A">
        <w:rPr>
          <w:noProof/>
          <w:lang w:eastAsia="en-US"/>
        </w:rPr>
        <w:drawing>
          <wp:inline distT="0" distB="0" distL="0" distR="0" wp14:anchorId="3734FD4D" wp14:editId="5948C780">
            <wp:extent cx="6120765" cy="1426634"/>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6884" b="23220"/>
                    <a:stretch/>
                  </pic:blipFill>
                  <pic:spPr bwMode="auto">
                    <a:xfrm>
                      <a:off x="0" y="0"/>
                      <a:ext cx="6120765" cy="1426634"/>
                    </a:xfrm>
                    <a:prstGeom prst="rect">
                      <a:avLst/>
                    </a:prstGeom>
                    <a:ln>
                      <a:noFill/>
                    </a:ln>
                    <a:extLst>
                      <a:ext uri="{53640926-AAD7-44D8-BBD7-CCE9431645EC}">
                        <a14:shadowObscured xmlns:a14="http://schemas.microsoft.com/office/drawing/2010/main"/>
                      </a:ext>
                    </a:extLst>
                  </pic:spPr>
                </pic:pic>
              </a:graphicData>
            </a:graphic>
          </wp:inline>
        </w:drawing>
      </w:r>
    </w:p>
    <w:p w14:paraId="23B0126E" w14:textId="742673CD" w:rsidR="0078027A" w:rsidRPr="00CB4659" w:rsidRDefault="00C72D1C" w:rsidP="00C72D1C">
      <w:pPr>
        <w:pStyle w:val="Caption"/>
        <w:jc w:val="center"/>
      </w:pPr>
      <w:r>
        <w:t xml:space="preserve">Figure </w:t>
      </w:r>
      <w:r w:rsidR="00095636">
        <w:t xml:space="preserve">2 </w:t>
      </w:r>
      <w:r>
        <w:t>- EPC architecture with full CN onboard</w:t>
      </w:r>
    </w:p>
    <w:p w14:paraId="65FB5851" w14:textId="3793A3ED" w:rsidR="00DA0A1E" w:rsidRDefault="00C72D1C" w:rsidP="00E90A58">
      <w:r>
        <w:lastRenderedPageBreak/>
        <w:t xml:space="preserve">The intermittent feeder link supports the SGi interface between the P-GTW and the IP network. This interface is outside of the RAN3 scope. SA2 recommend to handle the mobility on this interface using a </w:t>
      </w:r>
      <w:r w:rsidR="009F1087">
        <w:t>proxy that</w:t>
      </w:r>
      <w:r>
        <w:t xml:space="preserve"> is outside of the 3GPP scope.</w:t>
      </w:r>
    </w:p>
    <w:p w14:paraId="35DEF4F0" w14:textId="28BD333F" w:rsidR="00453F36" w:rsidRPr="006F3304" w:rsidRDefault="00DA0A1E" w:rsidP="00E90A58">
      <w:r w:rsidRPr="00E90A58">
        <w:rPr>
          <w:b/>
        </w:rPr>
        <w:t>Proposal 2</w:t>
      </w:r>
      <w:r w:rsidRPr="00E90A58">
        <w:rPr>
          <w:b/>
        </w:rPr>
        <w:tab/>
      </w:r>
      <w:r w:rsidRPr="00E90A58">
        <w:rPr>
          <w:b/>
        </w:rPr>
        <w:tab/>
      </w:r>
      <w:r w:rsidR="00453F36" w:rsidRPr="00E90A58">
        <w:rPr>
          <w:b/>
        </w:rPr>
        <w:t>For the Store and Forward architecture with full CN onboard there is no impacts on S1</w:t>
      </w:r>
    </w:p>
    <w:p w14:paraId="0C895879" w14:textId="58C0CA15" w:rsidR="00B97FE6" w:rsidRDefault="00C72D1C" w:rsidP="00AE7C06">
      <w:r>
        <w:t xml:space="preserve">The </w:t>
      </w:r>
      <w:r w:rsidR="007B5F07">
        <w:t xml:space="preserve">split MME architecture </w:t>
      </w:r>
      <w:r w:rsidR="00B97FE6">
        <w:t xml:space="preserve">for </w:t>
      </w:r>
      <w:r w:rsidR="00B97FE6" w:rsidRPr="00B97FE6">
        <w:t xml:space="preserve">supporting S&amp;F satellite operation for SMS and CP CIoT services </w:t>
      </w:r>
      <w:r w:rsidR="007B5F07">
        <w:t xml:space="preserve">is </w:t>
      </w:r>
      <w:r w:rsidR="00A75A42">
        <w:t xml:space="preserve">presented in Figure </w:t>
      </w:r>
      <w:r w:rsidR="00397832">
        <w:t>3</w:t>
      </w:r>
      <w:r w:rsidR="00B97FE6">
        <w:t>a</w:t>
      </w:r>
      <w:r w:rsidR="009F1087">
        <w:t xml:space="preserve"> [</w:t>
      </w:r>
      <w:r w:rsidR="00095636">
        <w:t>11]</w:t>
      </w:r>
      <w:r w:rsidR="00A75A42">
        <w:t>.</w:t>
      </w:r>
    </w:p>
    <w:p w14:paraId="401BB60A" w14:textId="77777777" w:rsidR="00B97FE6" w:rsidRDefault="00B97FE6" w:rsidP="00B97FE6">
      <w:pPr>
        <w:rPr>
          <w:rFonts w:ascii="Times New Roman" w:hAnsi="Times New Roman"/>
          <w:lang w:val="en-GB" w:eastAsia="en-US"/>
        </w:rPr>
      </w:pPr>
      <w:r>
        <w:rPr>
          <w:rFonts w:ascii="Times New Roman" w:hAnsi="Times New Roman"/>
          <w:lang w:val="en-GB" w:eastAsia="en-US"/>
        </w:rPr>
        <w:object w:dxaOrig="9405" w:dyaOrig="4995" w14:anchorId="2D3AB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249.7pt" o:ole="">
            <v:imagedata r:id="rId13" o:title=""/>
          </v:shape>
          <o:OLEObject Type="Embed" ProgID="Visio.Drawing.15" ShapeID="_x0000_i1025" DrawAspect="Content" ObjectID="_1792524392" r:id="rId14"/>
        </w:object>
      </w:r>
    </w:p>
    <w:p w14:paraId="022375C1" w14:textId="569002B3" w:rsidR="00B97FE6" w:rsidRDefault="00B97FE6" w:rsidP="00B97FE6">
      <w:pPr>
        <w:pStyle w:val="TF"/>
        <w:rPr>
          <w:rFonts w:cs="Arial"/>
        </w:rPr>
      </w:pPr>
      <w:r w:rsidRPr="00993767">
        <w:rPr>
          <w:rFonts w:cs="Arial"/>
          <w:lang w:val="en-GB"/>
        </w:rPr>
        <w:t>Fig</w:t>
      </w:r>
      <w:r>
        <w:rPr>
          <w:rFonts w:cs="Arial"/>
          <w:lang w:val="en-GB"/>
        </w:rPr>
        <w:t xml:space="preserve">ure </w:t>
      </w:r>
      <w:r w:rsidR="00095636">
        <w:rPr>
          <w:rFonts w:cs="Arial"/>
          <w:lang w:val="en-GB"/>
        </w:rPr>
        <w:t>3a</w:t>
      </w:r>
      <w:r>
        <w:rPr>
          <w:rFonts w:cs="Arial"/>
        </w:rPr>
        <w:t xml:space="preserve">: </w:t>
      </w:r>
      <w:r>
        <w:t>EPC architecture with MME split</w:t>
      </w:r>
      <w:r>
        <w:rPr>
          <w:rFonts w:cs="Arial"/>
        </w:rPr>
        <w:t xml:space="preserve"> for supporting S&amp;F satellite operation for SMS and CP CIoT services</w:t>
      </w:r>
    </w:p>
    <w:p w14:paraId="3D2E1DD1" w14:textId="1C709CFF" w:rsidR="00B97FE6" w:rsidRDefault="00B97FE6" w:rsidP="00AE7C06">
      <w:pPr>
        <w:rPr>
          <w:lang w:val="x-none"/>
        </w:rPr>
      </w:pPr>
    </w:p>
    <w:p w14:paraId="6AD39AD0" w14:textId="19AC387F" w:rsidR="005D4350" w:rsidRPr="006F3304" w:rsidRDefault="005D4350" w:rsidP="005D4350">
      <w:r w:rsidRPr="002F1920">
        <w:rPr>
          <w:b/>
        </w:rPr>
        <w:t xml:space="preserve">Proposal </w:t>
      </w:r>
      <w:r>
        <w:rPr>
          <w:b/>
        </w:rPr>
        <w:t>3.</w:t>
      </w:r>
      <w:r w:rsidRPr="002F1920">
        <w:rPr>
          <w:b/>
        </w:rPr>
        <w:tab/>
      </w:r>
      <w:r w:rsidRPr="002F1920">
        <w:rPr>
          <w:b/>
        </w:rPr>
        <w:tab/>
        <w:t xml:space="preserve">For the Store and Forward architecture with </w:t>
      </w:r>
      <w:r>
        <w:rPr>
          <w:b/>
        </w:rPr>
        <w:t xml:space="preserve">split-MME and considering the possibility that S&amp;F operation mode can be switched on and off depending on feeder link connection availability, there is a need to support the graceful removal of the S1 interface if the onboard eNB is switching between the MME-onboard (when the feeder link is not available) and a MME on the ground (when the feeder link is available). </w:t>
      </w:r>
    </w:p>
    <w:p w14:paraId="2CF88AD5" w14:textId="04560D54" w:rsidR="00541BF3" w:rsidRDefault="00541BF3" w:rsidP="00E90A58">
      <w:pPr>
        <w:pStyle w:val="Proposal"/>
        <w:numPr>
          <w:ilvl w:val="0"/>
          <w:numId w:val="0"/>
        </w:numPr>
      </w:pPr>
    </w:p>
    <w:p w14:paraId="20D74898" w14:textId="69083376" w:rsidR="00C01F33" w:rsidRPr="00264B7E" w:rsidRDefault="00373D2C" w:rsidP="00CE0424">
      <w:pPr>
        <w:pStyle w:val="Heading1"/>
        <w:rPr>
          <w:lang w:val="en-US"/>
        </w:rPr>
      </w:pPr>
      <w:r w:rsidRPr="00264B7E">
        <w:rPr>
          <w:lang w:val="en-US"/>
        </w:rPr>
        <w:t>3</w:t>
      </w:r>
      <w:r w:rsidRPr="00264B7E">
        <w:rPr>
          <w:lang w:val="en-US"/>
        </w:rPr>
        <w:tab/>
      </w:r>
      <w:r w:rsidR="00C01F33" w:rsidRPr="00264B7E">
        <w:rPr>
          <w:lang w:val="en-US"/>
        </w:rPr>
        <w:t>Conclusion</w:t>
      </w:r>
    </w:p>
    <w:p w14:paraId="7E08B161" w14:textId="6BACAF0F" w:rsidR="008E065E" w:rsidRDefault="008E065E" w:rsidP="008E065E">
      <w:pPr>
        <w:pStyle w:val="BodyText"/>
      </w:pPr>
      <w:r w:rsidRPr="00264B7E">
        <w:t xml:space="preserve">In </w:t>
      </w:r>
      <w:r w:rsidR="007729A2" w:rsidRPr="00264B7E">
        <w:t xml:space="preserve">the previous </w:t>
      </w:r>
      <w:r w:rsidRPr="00264B7E">
        <w:t>section</w:t>
      </w:r>
      <w:r w:rsidR="007729A2" w:rsidRPr="00264B7E">
        <w:t>s</w:t>
      </w:r>
      <w:r w:rsidRPr="00264B7E">
        <w:t xml:space="preserve"> we made the following observations</w:t>
      </w:r>
      <w:r w:rsidR="0033090B">
        <w:t xml:space="preserve"> and proposals</w:t>
      </w:r>
      <w:r w:rsidRPr="00264B7E">
        <w:t>:</w:t>
      </w:r>
    </w:p>
    <w:p w14:paraId="0E19CA9B" w14:textId="77777777" w:rsidR="00E90A58" w:rsidRPr="00716D52" w:rsidRDefault="00E90A58" w:rsidP="00E90A58">
      <w:pPr>
        <w:rPr>
          <w:b/>
          <w:lang w:val="en-GB"/>
        </w:rPr>
      </w:pPr>
      <w:r w:rsidRPr="00716D52">
        <w:rPr>
          <w:b/>
          <w:bCs/>
          <w:lang w:val="en-GB"/>
        </w:rPr>
        <w:t>Observation 1</w:t>
      </w:r>
      <w:r>
        <w:rPr>
          <w:b/>
          <w:lang w:val="en-GB"/>
        </w:rPr>
        <w:tab/>
      </w:r>
      <w:r w:rsidRPr="00716D52">
        <w:rPr>
          <w:b/>
          <w:lang w:val="en-GB"/>
        </w:rPr>
        <w:t xml:space="preserve"> According to the agreements in RAN3 and other groups pointed in the introduction, support for S&amp;F Satellite operation is based on:</w:t>
      </w:r>
    </w:p>
    <w:p w14:paraId="0E7E58EE" w14:textId="77777777" w:rsidR="00E90A58" w:rsidRPr="00716D52" w:rsidRDefault="00E90A58" w:rsidP="00E90A58">
      <w:pPr>
        <w:pStyle w:val="ListParagraph"/>
        <w:numPr>
          <w:ilvl w:val="0"/>
          <w:numId w:val="55"/>
        </w:numPr>
        <w:rPr>
          <w:b/>
          <w:lang w:val="en-GB"/>
        </w:rPr>
      </w:pPr>
      <w:r w:rsidRPr="00716D52">
        <w:rPr>
          <w:b/>
          <w:lang w:val="en-GB"/>
        </w:rPr>
        <w:t>An architecture where the eNB and part of, or all, CN functions are onboard the satellite</w:t>
      </w:r>
    </w:p>
    <w:p w14:paraId="202653EA" w14:textId="77777777" w:rsidR="00E90A58" w:rsidRPr="00716D52" w:rsidRDefault="00E90A58" w:rsidP="00E90A58">
      <w:pPr>
        <w:pStyle w:val="ListParagraph"/>
        <w:numPr>
          <w:ilvl w:val="0"/>
          <w:numId w:val="55"/>
        </w:numPr>
        <w:rPr>
          <w:b/>
          <w:lang w:val="en-GB"/>
        </w:rPr>
      </w:pPr>
      <w:r w:rsidRPr="00716D52">
        <w:rPr>
          <w:b/>
          <w:lang w:val="en-GB"/>
        </w:rPr>
        <w:t>S&amp;F operation involving multiple satellites of the same PLMN is considered the general case. The use of a single serving satellite would be a particular case</w:t>
      </w:r>
    </w:p>
    <w:p w14:paraId="77C7CA59" w14:textId="667ECDCA" w:rsidR="00831286" w:rsidRPr="00E90A58" w:rsidRDefault="00831286" w:rsidP="00716D52">
      <w:pPr>
        <w:pStyle w:val="Observation"/>
        <w:numPr>
          <w:ilvl w:val="0"/>
          <w:numId w:val="0"/>
        </w:numPr>
        <w:rPr>
          <w:lang w:val="en-GB"/>
        </w:rPr>
      </w:pPr>
    </w:p>
    <w:p w14:paraId="5AC4BD72" w14:textId="5910CB11" w:rsidR="00831286" w:rsidRDefault="00E90A58" w:rsidP="00E90A58">
      <w:pPr>
        <w:pStyle w:val="Observation"/>
        <w:numPr>
          <w:ilvl w:val="0"/>
          <w:numId w:val="0"/>
        </w:numPr>
      </w:pPr>
      <w:r>
        <w:t>Proposal 1</w:t>
      </w:r>
      <w:r>
        <w:tab/>
        <w:t xml:space="preserve">RAN3 aligns with SA2 that </w:t>
      </w:r>
      <w:r w:rsidRPr="00716D52">
        <w:rPr>
          <w:rFonts w:cs="Arial"/>
        </w:rPr>
        <w:t xml:space="preserve">S&amp;F operation involving multiple satellites of the same PLMN is considered the general case. The use of a single serving satellite would be a particular case. </w:t>
      </w:r>
      <w:r>
        <w:rPr>
          <w:rFonts w:cs="Arial"/>
        </w:rPr>
        <w:t>RAN3 considers this to drive the work on the signaling.</w:t>
      </w:r>
    </w:p>
    <w:p w14:paraId="52B1C7C0" w14:textId="77777777" w:rsidR="00E90A58" w:rsidRPr="006F3304" w:rsidRDefault="00E90A58" w:rsidP="00E90A58">
      <w:r w:rsidRPr="00E90A58">
        <w:rPr>
          <w:b/>
        </w:rPr>
        <w:lastRenderedPageBreak/>
        <w:t>Proposal 2</w:t>
      </w:r>
      <w:r w:rsidRPr="00E90A58">
        <w:rPr>
          <w:b/>
        </w:rPr>
        <w:tab/>
      </w:r>
      <w:r w:rsidRPr="00E90A58">
        <w:rPr>
          <w:b/>
        </w:rPr>
        <w:tab/>
        <w:t>For the Store and Forward architecture with full CN onboard there is no impacts on S1</w:t>
      </w:r>
    </w:p>
    <w:p w14:paraId="58B82677" w14:textId="1EFD08D7" w:rsidR="00E90A58" w:rsidRDefault="00E90A58" w:rsidP="00E90A58">
      <w:r w:rsidRPr="002F1920">
        <w:rPr>
          <w:b/>
        </w:rPr>
        <w:t xml:space="preserve">Proposal </w:t>
      </w:r>
      <w:r>
        <w:rPr>
          <w:b/>
        </w:rPr>
        <w:t>3.</w:t>
      </w:r>
      <w:r w:rsidRPr="002F1920">
        <w:rPr>
          <w:b/>
        </w:rPr>
        <w:tab/>
      </w:r>
      <w:r w:rsidRPr="002F1920">
        <w:rPr>
          <w:b/>
        </w:rPr>
        <w:tab/>
        <w:t xml:space="preserve">For the Store and Forward architecture with </w:t>
      </w:r>
      <w:r>
        <w:rPr>
          <w:b/>
        </w:rPr>
        <w:t xml:space="preserve">split-MME and considering the possibility that S&amp;F operation mode can be switched on and off depending on feeder link connection availability, there is a need to support the graceful removal of the S1 interface if the onboard eNB is switching between the MME-onboard (when the feeder link is not available) and a MME on the ground (when the feeder link is available). </w:t>
      </w:r>
    </w:p>
    <w:p w14:paraId="0966406F" w14:textId="77777777" w:rsidR="00081197" w:rsidRDefault="00081197" w:rsidP="00831286">
      <w:pPr>
        <w:pStyle w:val="Proposal"/>
        <w:numPr>
          <w:ilvl w:val="0"/>
          <w:numId w:val="0"/>
        </w:numPr>
      </w:pPr>
    </w:p>
    <w:p w14:paraId="7BD5CFC3" w14:textId="77777777" w:rsidR="00F507D1" w:rsidRPr="00264B7E" w:rsidRDefault="00F507D1" w:rsidP="00CE0424">
      <w:pPr>
        <w:pStyle w:val="Heading1"/>
        <w:rPr>
          <w:lang w:val="en-US"/>
        </w:rPr>
      </w:pPr>
      <w:bookmarkStart w:id="4" w:name="_In-sequence_SDU_delivery"/>
      <w:bookmarkEnd w:id="4"/>
      <w:r w:rsidRPr="00264B7E">
        <w:rPr>
          <w:lang w:val="en-US"/>
        </w:rPr>
        <w:t>References</w:t>
      </w:r>
    </w:p>
    <w:p w14:paraId="3F3A7003" w14:textId="54B57AB9" w:rsidR="00F904D2" w:rsidRDefault="002F0C4A" w:rsidP="002F0C4A">
      <w:pPr>
        <w:pStyle w:val="Reference"/>
      </w:pPr>
      <w:bookmarkStart w:id="5" w:name="_Ref174151459"/>
      <w:bookmarkStart w:id="6" w:name="_Ref189809556"/>
      <w:r w:rsidRPr="00264B7E">
        <w:t>R</w:t>
      </w:r>
      <w:r w:rsidR="00E90A58">
        <w:t>P-242397</w:t>
      </w:r>
      <w:r w:rsidRPr="00264B7E">
        <w:t xml:space="preserve">, </w:t>
      </w:r>
      <w:r>
        <w:t>Revised</w:t>
      </w:r>
      <w:r w:rsidRPr="00264B7E">
        <w:t xml:space="preserve"> WID: Non-Terrestrial Networks (NTN) for NR Phase 3, </w:t>
      </w:r>
      <w:r w:rsidR="00E90A58">
        <w:t>RAN1 Vice-Chair, RAN#105, 2024-09</w:t>
      </w:r>
      <w:r w:rsidRPr="00264B7E">
        <w:t xml:space="preserve">, </w:t>
      </w:r>
      <w:r w:rsidR="00E90A58">
        <w:t>Melbourne</w:t>
      </w:r>
      <w:r>
        <w:t xml:space="preserve">, </w:t>
      </w:r>
      <w:r w:rsidR="00E90A58">
        <w:t>AU</w:t>
      </w:r>
      <w:r w:rsidRPr="00264B7E">
        <w:t>.</w:t>
      </w:r>
      <w:bookmarkEnd w:id="5"/>
      <w:bookmarkEnd w:id="6"/>
    </w:p>
    <w:p w14:paraId="26DA01F6" w14:textId="77777777" w:rsidR="00356223" w:rsidRDefault="00356223" w:rsidP="00356223">
      <w:pPr>
        <w:pStyle w:val="Reference"/>
      </w:pPr>
      <w:r>
        <w:t>TR 23.700-29, “</w:t>
      </w:r>
      <w:r w:rsidRPr="00A15140">
        <w:t>Study on integration of satellite components in the 5G architecture; Phase 3</w:t>
      </w:r>
      <w:r>
        <w:t>”, SA#104, 2024-06, Shanghai, CN.</w:t>
      </w:r>
    </w:p>
    <w:p w14:paraId="03886E80" w14:textId="748998DD" w:rsidR="00356223" w:rsidRDefault="001B1C9D" w:rsidP="002F0C4A">
      <w:pPr>
        <w:pStyle w:val="Reference"/>
      </w:pPr>
      <w:r>
        <w:t xml:space="preserve">TR 22.865, </w:t>
      </w:r>
      <w:r w:rsidRPr="00854324">
        <w:t>Study on satellite access Phase 3</w:t>
      </w:r>
      <w:r>
        <w:t>, v19.2.0, 2023-12.</w:t>
      </w:r>
    </w:p>
    <w:p w14:paraId="23D766FF" w14:textId="77777777" w:rsidR="001B1C9D" w:rsidRDefault="001B1C9D" w:rsidP="001B1C9D">
      <w:pPr>
        <w:pStyle w:val="Reference"/>
      </w:pPr>
      <w:r>
        <w:t xml:space="preserve">TR 22.261, </w:t>
      </w:r>
      <w:r w:rsidRPr="00854324">
        <w:t>Service requirements for the 5G system</w:t>
      </w:r>
      <w:r>
        <w:t>, v19.5.0, 2023-12.</w:t>
      </w:r>
    </w:p>
    <w:p w14:paraId="5DBA4C12" w14:textId="5AC3467D" w:rsidR="001B1C9D" w:rsidRDefault="001B1C9D" w:rsidP="001B1C9D">
      <w:pPr>
        <w:pStyle w:val="Reference"/>
      </w:pPr>
      <w:r>
        <w:t>TR 23.700-29, Study on integration of satellite components in the 5G architecture, v0.4.0, 2024-03.</w:t>
      </w:r>
    </w:p>
    <w:p w14:paraId="107421AD" w14:textId="1542A12C" w:rsidR="001B1C9D" w:rsidRDefault="001B1C9D" w:rsidP="001B1C9D">
      <w:pPr>
        <w:pStyle w:val="Reference"/>
      </w:pPr>
      <w:r>
        <w:t>R3-243949, “</w:t>
      </w:r>
      <w:r w:rsidR="00D336CB">
        <w:fldChar w:fldCharType="begin"/>
      </w:r>
      <w:r w:rsidR="00D336CB">
        <w:instrText xml:space="preserve"> DOCPROPERTY  CrTitle  \* MER</w:instrText>
      </w:r>
      <w:r w:rsidR="00D336CB">
        <w:instrText xml:space="preserve">GEFORMAT </w:instrText>
      </w:r>
      <w:r w:rsidR="00D336CB">
        <w:fldChar w:fldCharType="separate"/>
      </w:r>
      <w:r>
        <w:t>Support for Regenerative Payload in NR NTN</w:t>
      </w:r>
      <w:r w:rsidR="00D336CB">
        <w:fldChar w:fldCharType="end"/>
      </w:r>
      <w:r>
        <w:t xml:space="preserve">”, RAN3#124, Ericsson et al., </w:t>
      </w:r>
      <w:r w:rsidR="00EA6FD5">
        <w:t>2024-05, Fukuoka, JP.</w:t>
      </w:r>
    </w:p>
    <w:p w14:paraId="382DD7E5" w14:textId="2B0DB56F" w:rsidR="00CB4659" w:rsidRPr="00B76CC1" w:rsidRDefault="00CB4659" w:rsidP="001B1C9D">
      <w:pPr>
        <w:pStyle w:val="Reference"/>
      </w:pPr>
      <w:r>
        <w:rPr>
          <w:rFonts w:cs="Arial"/>
          <w:color w:val="222222"/>
          <w:shd w:val="clear" w:color="auto" w:fill="FFFFFF"/>
        </w:rPr>
        <w:t>Sciddurlo, Giancarlo, et al. "Looking at NB-IoT over LEO satellite systems: Design and evaluation of a service-oriented solution." </w:t>
      </w:r>
      <w:r>
        <w:rPr>
          <w:rFonts w:cs="Arial"/>
          <w:i/>
          <w:iCs/>
          <w:color w:val="222222"/>
          <w:shd w:val="clear" w:color="auto" w:fill="FFFFFF"/>
        </w:rPr>
        <w:t>IEEE Internet of Things Journal</w:t>
      </w:r>
      <w:r>
        <w:rPr>
          <w:rFonts w:cs="Arial"/>
          <w:color w:val="222222"/>
          <w:shd w:val="clear" w:color="auto" w:fill="FFFFFF"/>
        </w:rPr>
        <w:t> 9.16 (2021): 14952-14964.</w:t>
      </w:r>
    </w:p>
    <w:p w14:paraId="47F62A5B" w14:textId="6BD13A68" w:rsidR="00B76CC1" w:rsidRPr="00831286" w:rsidRDefault="00B76CC1" w:rsidP="001B1C9D">
      <w:pPr>
        <w:pStyle w:val="Reference"/>
      </w:pPr>
      <w:r>
        <w:rPr>
          <w:rFonts w:cs="Arial"/>
          <w:color w:val="222222"/>
          <w:shd w:val="clear" w:color="auto" w:fill="FFFFFF"/>
        </w:rPr>
        <w:t>Kellermann, Timo, et al. "Novel architecture for cellular IoT in future non-terrestrial networks: store and forward adaptations for enabling discontinuous feeder link operation." </w:t>
      </w:r>
      <w:r>
        <w:rPr>
          <w:rFonts w:cs="Arial"/>
          <w:i/>
          <w:iCs/>
          <w:color w:val="222222"/>
          <w:shd w:val="clear" w:color="auto" w:fill="FFFFFF"/>
        </w:rPr>
        <w:t>IEEE access</w:t>
      </w:r>
      <w:r>
        <w:rPr>
          <w:rFonts w:cs="Arial"/>
          <w:color w:val="222222"/>
          <w:shd w:val="clear" w:color="auto" w:fill="FFFFFF"/>
        </w:rPr>
        <w:t> 10 (2022): 68922-68936.</w:t>
      </w:r>
    </w:p>
    <w:p w14:paraId="1BD944DC" w14:textId="0CA143A8" w:rsidR="001E5E2F" w:rsidRDefault="001E5E2F" w:rsidP="001B1C9D">
      <w:pPr>
        <w:pStyle w:val="Reference"/>
      </w:pPr>
      <w:r w:rsidRPr="001E5E2F">
        <w:t>R2-2107453</w:t>
      </w:r>
      <w:r>
        <w:t>, “</w:t>
      </w:r>
      <w:r w:rsidRPr="001E5E2F">
        <w:t>On LEO satellite flyover timing and discontinuous coverage</w:t>
      </w:r>
      <w:r>
        <w:t xml:space="preserve">”; Eutelsat, </w:t>
      </w:r>
      <w:r w:rsidRPr="001E5E2F">
        <w:t>August 9th - 27th, 2021</w:t>
      </w:r>
      <w:r w:rsidR="006709D0">
        <w:t>, RAN2</w:t>
      </w:r>
      <w:r w:rsidR="006709D0" w:rsidRPr="006709D0">
        <w:t>#115-e</w:t>
      </w:r>
    </w:p>
    <w:p w14:paraId="12FB95B8" w14:textId="065ABFE0" w:rsidR="00716D52" w:rsidRDefault="00716D52" w:rsidP="00716D52">
      <w:pPr>
        <w:pStyle w:val="Reference"/>
      </w:pPr>
      <w:bookmarkStart w:id="7" w:name="_Ref181634362"/>
      <w:r w:rsidRPr="002027EE">
        <w:t>R3-247016</w:t>
      </w:r>
      <w:r w:rsidRPr="002027EE">
        <w:tab/>
        <w:t>Reply LS on Support of Regenerative-based Satellite Access, SA2.</w:t>
      </w:r>
      <w:bookmarkEnd w:id="7"/>
    </w:p>
    <w:p w14:paraId="627F9544" w14:textId="5B325CA2" w:rsidR="009F1087" w:rsidRPr="002027EE" w:rsidRDefault="009F1087" w:rsidP="00716D52">
      <w:pPr>
        <w:pStyle w:val="Reference"/>
      </w:pPr>
      <w:r>
        <w:t>S2-2409411</w:t>
      </w:r>
      <w:r>
        <w:t xml:space="preserve"> Introduction to Split MME Architecture in 3GPP TS 23.401, SA#164.</w:t>
      </w:r>
    </w:p>
    <w:p w14:paraId="21AD30D7" w14:textId="77777777" w:rsidR="00716D52" w:rsidRPr="00264B7E" w:rsidRDefault="00716D52" w:rsidP="00E90A58">
      <w:pPr>
        <w:pStyle w:val="Reference"/>
        <w:numPr>
          <w:ilvl w:val="0"/>
          <w:numId w:val="0"/>
        </w:numPr>
        <w:ind w:left="567"/>
      </w:pPr>
    </w:p>
    <w:sectPr w:rsidR="00716D52" w:rsidRPr="00264B7E"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EDF8AE" w16cid:durableId="2AD5A96B"/>
  <w16cid:commentId w16cid:paraId="7B24D68F" w16cid:durableId="2AD5A96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CDE8B" w14:textId="77777777" w:rsidR="00D336CB" w:rsidRDefault="00D336CB">
      <w:r>
        <w:separator/>
      </w:r>
    </w:p>
  </w:endnote>
  <w:endnote w:type="continuationSeparator" w:id="0">
    <w:p w14:paraId="7D4B9D92" w14:textId="77777777" w:rsidR="00D336CB" w:rsidRDefault="00D336CB">
      <w:r>
        <w:continuationSeparator/>
      </w:r>
    </w:p>
  </w:endnote>
  <w:endnote w:type="continuationNotice" w:id="1">
    <w:p w14:paraId="76F6E64E" w14:textId="77777777" w:rsidR="00D336CB" w:rsidRDefault="00D33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240CF65C" w:rsidR="00A27143" w:rsidRDefault="00A271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038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038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EF5A5" w14:textId="77777777" w:rsidR="00D336CB" w:rsidRDefault="00D336CB">
      <w:r>
        <w:separator/>
      </w:r>
    </w:p>
  </w:footnote>
  <w:footnote w:type="continuationSeparator" w:id="0">
    <w:p w14:paraId="3967F2CC" w14:textId="77777777" w:rsidR="00D336CB" w:rsidRDefault="00D336CB">
      <w:r>
        <w:continuationSeparator/>
      </w:r>
    </w:p>
  </w:footnote>
  <w:footnote w:type="continuationNotice" w:id="1">
    <w:p w14:paraId="4BBE0A53" w14:textId="77777777" w:rsidR="00D336CB" w:rsidRDefault="00D336CB">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A27143" w:rsidRDefault="00A2714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533B6"/>
    <w:multiLevelType w:val="hybridMultilevel"/>
    <w:tmpl w:val="3ABEFD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E27BE1"/>
    <w:multiLevelType w:val="hybridMultilevel"/>
    <w:tmpl w:val="4B36C8E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620793"/>
    <w:multiLevelType w:val="hybridMultilevel"/>
    <w:tmpl w:val="B90C85B2"/>
    <w:lvl w:ilvl="0" w:tplc="70946344">
      <w:start w:val="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0D2580"/>
    <w:multiLevelType w:val="hybridMultilevel"/>
    <w:tmpl w:val="44AA97E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F5C660DC"/>
    <w:lvl w:ilvl="0" w:tplc="56E63F8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102201"/>
    <w:multiLevelType w:val="hybridMultilevel"/>
    <w:tmpl w:val="5324E8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47392A69"/>
    <w:multiLevelType w:val="hybridMultilevel"/>
    <w:tmpl w:val="4B36C8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866114"/>
    <w:multiLevelType w:val="multilevel"/>
    <w:tmpl w:val="F4BA230E"/>
    <w:styleLink w:val="CurrentList2"/>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01505E"/>
    <w:multiLevelType w:val="hybridMultilevel"/>
    <w:tmpl w:val="37AC2398"/>
    <w:lvl w:ilvl="0" w:tplc="FA540896">
      <w:start w:val="2"/>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D330E3"/>
    <w:multiLevelType w:val="hybridMultilevel"/>
    <w:tmpl w:val="605C3A14"/>
    <w:lvl w:ilvl="0" w:tplc="D58CF48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7E2992"/>
    <w:multiLevelType w:val="hybridMultilevel"/>
    <w:tmpl w:val="476EAC58"/>
    <w:lvl w:ilvl="0" w:tplc="E8524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7E30194"/>
    <w:multiLevelType w:val="hybridMultilevel"/>
    <w:tmpl w:val="E2100904"/>
    <w:lvl w:ilvl="0" w:tplc="A2C8399E">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8A6620"/>
    <w:multiLevelType w:val="multilevel"/>
    <w:tmpl w:val="4B36C8EC"/>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E303F26"/>
    <w:multiLevelType w:val="multilevel"/>
    <w:tmpl w:val="BDB07E96"/>
    <w:styleLink w:val="CurrentList3"/>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9"/>
  </w:num>
  <w:num w:numId="3">
    <w:abstractNumId w:val="22"/>
  </w:num>
  <w:num w:numId="4">
    <w:abstractNumId w:val="24"/>
  </w:num>
  <w:num w:numId="5">
    <w:abstractNumId w:val="18"/>
  </w:num>
  <w:num w:numId="6">
    <w:abstractNumId w:val="26"/>
  </w:num>
  <w:num w:numId="7">
    <w:abstractNumId w:val="36"/>
  </w:num>
  <w:num w:numId="8">
    <w:abstractNumId w:val="19"/>
  </w:num>
  <w:num w:numId="9">
    <w:abstractNumId w:val="15"/>
  </w:num>
  <w:num w:numId="10">
    <w:abstractNumId w:val="2"/>
  </w:num>
  <w:num w:numId="11">
    <w:abstractNumId w:val="1"/>
  </w:num>
  <w:num w:numId="12">
    <w:abstractNumId w:val="0"/>
  </w:num>
  <w:num w:numId="13">
    <w:abstractNumId w:val="33"/>
  </w:num>
  <w:num w:numId="14">
    <w:abstractNumId w:val="34"/>
  </w:num>
  <w:num w:numId="15">
    <w:abstractNumId w:val="25"/>
  </w:num>
  <w:num w:numId="16">
    <w:abstractNumId w:val="38"/>
  </w:num>
  <w:num w:numId="17">
    <w:abstractNumId w:val="10"/>
  </w:num>
  <w:num w:numId="18">
    <w:abstractNumId w:val="12"/>
  </w:num>
  <w:num w:numId="19">
    <w:abstractNumId w:val="7"/>
  </w:num>
  <w:num w:numId="20">
    <w:abstractNumId w:val="41"/>
  </w:num>
  <w:num w:numId="21">
    <w:abstractNumId w:val="21"/>
  </w:num>
  <w:num w:numId="22">
    <w:abstractNumId w:val="40"/>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30"/>
  </w:num>
  <w:num w:numId="25">
    <w:abstractNumId w:val="37"/>
  </w:num>
  <w:num w:numId="26">
    <w:abstractNumId w:val="14"/>
  </w:num>
  <w:num w:numId="27">
    <w:abstractNumId w:val="17"/>
  </w:num>
  <w:num w:numId="28">
    <w:abstractNumId w:val="8"/>
  </w:num>
  <w:num w:numId="29">
    <w:abstractNumId w:val="6"/>
  </w:num>
  <w:num w:numId="30">
    <w:abstractNumId w:val="23"/>
  </w:num>
  <w:num w:numId="31">
    <w:abstractNumId w:val="9"/>
  </w:num>
  <w:num w:numId="32">
    <w:abstractNumId w:val="45"/>
  </w:num>
  <w:num w:numId="33">
    <w:abstractNumId w:val="42"/>
  </w:num>
  <w:num w:numId="34">
    <w:abstractNumId w:val="16"/>
  </w:num>
  <w:num w:numId="35">
    <w:abstractNumId w:val="33"/>
    <w:lvlOverride w:ilvl="0">
      <w:startOverride w:val="1"/>
    </w:lvlOverride>
  </w:num>
  <w:num w:numId="36">
    <w:abstractNumId w:val="22"/>
    <w:lvlOverride w:ilvl="0">
      <w:startOverride w:val="1"/>
    </w:lvlOverride>
  </w:num>
  <w:num w:numId="37">
    <w:abstractNumId w:val="22"/>
  </w:num>
  <w:num w:numId="38">
    <w:abstractNumId w:val="22"/>
    <w:lvlOverride w:ilvl="0">
      <w:startOverride w:val="1"/>
    </w:lvlOverride>
  </w:num>
  <w:num w:numId="39">
    <w:abstractNumId w:val="22"/>
  </w:num>
  <w:num w:numId="40">
    <w:abstractNumId w:val="33"/>
    <w:lvlOverride w:ilvl="0">
      <w:startOverride w:val="1"/>
    </w:lvlOverride>
  </w:num>
  <w:num w:numId="41">
    <w:abstractNumId w:val="22"/>
    <w:lvlOverride w:ilvl="0">
      <w:startOverride w:val="1"/>
    </w:lvlOverride>
  </w:num>
  <w:num w:numId="42">
    <w:abstractNumId w:val="13"/>
  </w:num>
  <w:num w:numId="43">
    <w:abstractNumId w:val="39"/>
  </w:num>
  <w:num w:numId="44">
    <w:abstractNumId w:val="11"/>
  </w:num>
  <w:num w:numId="45">
    <w:abstractNumId w:val="28"/>
  </w:num>
  <w:num w:numId="46">
    <w:abstractNumId w:val="43"/>
  </w:num>
  <w:num w:numId="47">
    <w:abstractNumId w:val="20"/>
  </w:num>
  <w:num w:numId="48">
    <w:abstractNumId w:val="32"/>
  </w:num>
  <w:num w:numId="49">
    <w:abstractNumId w:val="33"/>
    <w:lvlOverride w:ilvl="0">
      <w:startOverride w:val="1"/>
    </w:lvlOverride>
  </w:num>
  <w:num w:numId="50">
    <w:abstractNumId w:val="44"/>
  </w:num>
  <w:num w:numId="51">
    <w:abstractNumId w:val="22"/>
    <w:lvlOverride w:ilvl="0">
      <w:startOverride w:val="1"/>
    </w:lvlOverride>
  </w:num>
  <w:num w:numId="52">
    <w:abstractNumId w:val="33"/>
    <w:lvlOverride w:ilvl="0">
      <w:startOverride w:val="1"/>
    </w:lvlOverride>
  </w:num>
  <w:num w:numId="53">
    <w:abstractNumId w:val="22"/>
    <w:lvlOverride w:ilvl="0">
      <w:startOverride w:val="1"/>
    </w:lvlOverride>
  </w:num>
  <w:num w:numId="54">
    <w:abstractNumId w:val="35"/>
  </w:num>
  <w:num w:numId="55">
    <w:abstractNumId w:val="4"/>
  </w:num>
  <w:num w:numId="56">
    <w:abstractNumId w:val="27"/>
  </w:num>
  <w:num w:numId="57">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it-IT" w:vendorID="64" w:dllVersion="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11B28"/>
    <w:rsid w:val="00011E3E"/>
    <w:rsid w:val="00015D15"/>
    <w:rsid w:val="0002564D"/>
    <w:rsid w:val="00025ECA"/>
    <w:rsid w:val="000325B8"/>
    <w:rsid w:val="00034C15"/>
    <w:rsid w:val="00036BA1"/>
    <w:rsid w:val="00036FEA"/>
    <w:rsid w:val="000422E2"/>
    <w:rsid w:val="00042F22"/>
    <w:rsid w:val="000444EF"/>
    <w:rsid w:val="00051CD8"/>
    <w:rsid w:val="00051E08"/>
    <w:rsid w:val="00052204"/>
    <w:rsid w:val="00052A07"/>
    <w:rsid w:val="000534E3"/>
    <w:rsid w:val="0005606A"/>
    <w:rsid w:val="00057117"/>
    <w:rsid w:val="000616E7"/>
    <w:rsid w:val="0006487E"/>
    <w:rsid w:val="00065E1A"/>
    <w:rsid w:val="00077E5F"/>
    <w:rsid w:val="0008036A"/>
    <w:rsid w:val="00080A08"/>
    <w:rsid w:val="00081197"/>
    <w:rsid w:val="00081AE6"/>
    <w:rsid w:val="000855EB"/>
    <w:rsid w:val="00085B52"/>
    <w:rsid w:val="000866F2"/>
    <w:rsid w:val="0009009F"/>
    <w:rsid w:val="00091557"/>
    <w:rsid w:val="000924C1"/>
    <w:rsid w:val="000924F0"/>
    <w:rsid w:val="00092804"/>
    <w:rsid w:val="00093474"/>
    <w:rsid w:val="00093C82"/>
    <w:rsid w:val="0009510F"/>
    <w:rsid w:val="00095636"/>
    <w:rsid w:val="000A1B7B"/>
    <w:rsid w:val="000A4F27"/>
    <w:rsid w:val="000A56F2"/>
    <w:rsid w:val="000B2719"/>
    <w:rsid w:val="000B3A8F"/>
    <w:rsid w:val="000B4AB9"/>
    <w:rsid w:val="000B58C3"/>
    <w:rsid w:val="000B61E9"/>
    <w:rsid w:val="000C165A"/>
    <w:rsid w:val="000C2E19"/>
    <w:rsid w:val="000C4FC0"/>
    <w:rsid w:val="000D026F"/>
    <w:rsid w:val="000D065E"/>
    <w:rsid w:val="000D0D07"/>
    <w:rsid w:val="000D4797"/>
    <w:rsid w:val="000E0527"/>
    <w:rsid w:val="000E1E92"/>
    <w:rsid w:val="000F06D6"/>
    <w:rsid w:val="000F0EB1"/>
    <w:rsid w:val="000F1106"/>
    <w:rsid w:val="000F1668"/>
    <w:rsid w:val="000F3BE9"/>
    <w:rsid w:val="000F3F6C"/>
    <w:rsid w:val="000F6DF3"/>
    <w:rsid w:val="001005FF"/>
    <w:rsid w:val="001037C6"/>
    <w:rsid w:val="001062FB"/>
    <w:rsid w:val="001063E6"/>
    <w:rsid w:val="00113CF4"/>
    <w:rsid w:val="001153EA"/>
    <w:rsid w:val="00115643"/>
    <w:rsid w:val="00116765"/>
    <w:rsid w:val="001219F5"/>
    <w:rsid w:val="00121A20"/>
    <w:rsid w:val="0012377F"/>
    <w:rsid w:val="00124314"/>
    <w:rsid w:val="00125910"/>
    <w:rsid w:val="00126B4A"/>
    <w:rsid w:val="00132FD0"/>
    <w:rsid w:val="001344C0"/>
    <w:rsid w:val="001346FA"/>
    <w:rsid w:val="00135252"/>
    <w:rsid w:val="00137AB5"/>
    <w:rsid w:val="00137F0B"/>
    <w:rsid w:val="00140D59"/>
    <w:rsid w:val="001413FF"/>
    <w:rsid w:val="00151E23"/>
    <w:rsid w:val="001526E0"/>
    <w:rsid w:val="001551B5"/>
    <w:rsid w:val="00160157"/>
    <w:rsid w:val="001659C1"/>
    <w:rsid w:val="00173A8E"/>
    <w:rsid w:val="0017502C"/>
    <w:rsid w:val="0017647F"/>
    <w:rsid w:val="0018143F"/>
    <w:rsid w:val="00181FF8"/>
    <w:rsid w:val="00190AC1"/>
    <w:rsid w:val="0019341A"/>
    <w:rsid w:val="00197DF9"/>
    <w:rsid w:val="001A1165"/>
    <w:rsid w:val="001A1987"/>
    <w:rsid w:val="001A1AC7"/>
    <w:rsid w:val="001A2564"/>
    <w:rsid w:val="001A6173"/>
    <w:rsid w:val="001A6CBA"/>
    <w:rsid w:val="001B0D97"/>
    <w:rsid w:val="001B1C9D"/>
    <w:rsid w:val="001B5A5D"/>
    <w:rsid w:val="001C1CE5"/>
    <w:rsid w:val="001C3D2A"/>
    <w:rsid w:val="001C5CB8"/>
    <w:rsid w:val="001D51BA"/>
    <w:rsid w:val="001D53E7"/>
    <w:rsid w:val="001D6342"/>
    <w:rsid w:val="001D6C45"/>
    <w:rsid w:val="001D6D53"/>
    <w:rsid w:val="001E1376"/>
    <w:rsid w:val="001E58E2"/>
    <w:rsid w:val="001E5E2F"/>
    <w:rsid w:val="001E7AED"/>
    <w:rsid w:val="001F3916"/>
    <w:rsid w:val="001F54C5"/>
    <w:rsid w:val="001F662C"/>
    <w:rsid w:val="001F7074"/>
    <w:rsid w:val="00200490"/>
    <w:rsid w:val="00201219"/>
    <w:rsid w:val="00201F3A"/>
    <w:rsid w:val="00203F96"/>
    <w:rsid w:val="0020497F"/>
    <w:rsid w:val="0020582B"/>
    <w:rsid w:val="002069B2"/>
    <w:rsid w:val="00207FA3"/>
    <w:rsid w:val="00214DA8"/>
    <w:rsid w:val="00215423"/>
    <w:rsid w:val="002158FA"/>
    <w:rsid w:val="00220600"/>
    <w:rsid w:val="002224DB"/>
    <w:rsid w:val="00223FCB"/>
    <w:rsid w:val="002252C3"/>
    <w:rsid w:val="00225C54"/>
    <w:rsid w:val="00230765"/>
    <w:rsid w:val="00230D18"/>
    <w:rsid w:val="002319E4"/>
    <w:rsid w:val="00233F1E"/>
    <w:rsid w:val="00235632"/>
    <w:rsid w:val="00235872"/>
    <w:rsid w:val="00241559"/>
    <w:rsid w:val="002435B3"/>
    <w:rsid w:val="00244E80"/>
    <w:rsid w:val="002458EB"/>
    <w:rsid w:val="002500C8"/>
    <w:rsid w:val="00250975"/>
    <w:rsid w:val="00257543"/>
    <w:rsid w:val="002617E7"/>
    <w:rsid w:val="00264228"/>
    <w:rsid w:val="00264334"/>
    <w:rsid w:val="0026473E"/>
    <w:rsid w:val="00264B7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2A82"/>
    <w:rsid w:val="00292EB7"/>
    <w:rsid w:val="0029504F"/>
    <w:rsid w:val="00296227"/>
    <w:rsid w:val="00296F44"/>
    <w:rsid w:val="0029777D"/>
    <w:rsid w:val="00297C72"/>
    <w:rsid w:val="002A055E"/>
    <w:rsid w:val="002A0FA9"/>
    <w:rsid w:val="002A1D4E"/>
    <w:rsid w:val="002A2869"/>
    <w:rsid w:val="002A7FF5"/>
    <w:rsid w:val="002B24D6"/>
    <w:rsid w:val="002B3379"/>
    <w:rsid w:val="002B37A2"/>
    <w:rsid w:val="002B70F7"/>
    <w:rsid w:val="002C41E6"/>
    <w:rsid w:val="002D071A"/>
    <w:rsid w:val="002D34B2"/>
    <w:rsid w:val="002D48B0"/>
    <w:rsid w:val="002D5B37"/>
    <w:rsid w:val="002D7637"/>
    <w:rsid w:val="002E17F2"/>
    <w:rsid w:val="002E27B9"/>
    <w:rsid w:val="002E7CAE"/>
    <w:rsid w:val="002F0C4A"/>
    <w:rsid w:val="002F2771"/>
    <w:rsid w:val="002F37A9"/>
    <w:rsid w:val="00301CE6"/>
    <w:rsid w:val="0030256B"/>
    <w:rsid w:val="0030501F"/>
    <w:rsid w:val="00305C4E"/>
    <w:rsid w:val="00307BA1"/>
    <w:rsid w:val="00311702"/>
    <w:rsid w:val="00311E82"/>
    <w:rsid w:val="00313FD6"/>
    <w:rsid w:val="003143BD"/>
    <w:rsid w:val="00315363"/>
    <w:rsid w:val="003173F5"/>
    <w:rsid w:val="00317F3E"/>
    <w:rsid w:val="003203ED"/>
    <w:rsid w:val="00322C9F"/>
    <w:rsid w:val="00324D23"/>
    <w:rsid w:val="003267B7"/>
    <w:rsid w:val="0033090B"/>
    <w:rsid w:val="00331751"/>
    <w:rsid w:val="00334066"/>
    <w:rsid w:val="00334579"/>
    <w:rsid w:val="00335858"/>
    <w:rsid w:val="00336BDA"/>
    <w:rsid w:val="00340023"/>
    <w:rsid w:val="00342BD7"/>
    <w:rsid w:val="00346DB5"/>
    <w:rsid w:val="003477B1"/>
    <w:rsid w:val="00355902"/>
    <w:rsid w:val="00356223"/>
    <w:rsid w:val="00357380"/>
    <w:rsid w:val="003602D9"/>
    <w:rsid w:val="003604CE"/>
    <w:rsid w:val="00370E47"/>
    <w:rsid w:val="0037172B"/>
    <w:rsid w:val="00373D2C"/>
    <w:rsid w:val="003742AC"/>
    <w:rsid w:val="00377553"/>
    <w:rsid w:val="00377CE1"/>
    <w:rsid w:val="0038114C"/>
    <w:rsid w:val="00385BF0"/>
    <w:rsid w:val="00387186"/>
    <w:rsid w:val="003939FF"/>
    <w:rsid w:val="00397832"/>
    <w:rsid w:val="003A11C2"/>
    <w:rsid w:val="003A2223"/>
    <w:rsid w:val="003A2A0F"/>
    <w:rsid w:val="003A45A1"/>
    <w:rsid w:val="003A5B0A"/>
    <w:rsid w:val="003A5B48"/>
    <w:rsid w:val="003A6BAC"/>
    <w:rsid w:val="003A70A4"/>
    <w:rsid w:val="003A7EF3"/>
    <w:rsid w:val="003B159C"/>
    <w:rsid w:val="003B369F"/>
    <w:rsid w:val="003B36A3"/>
    <w:rsid w:val="003B64BB"/>
    <w:rsid w:val="003B7FE5"/>
    <w:rsid w:val="003C02FD"/>
    <w:rsid w:val="003C11C8"/>
    <w:rsid w:val="003C2702"/>
    <w:rsid w:val="003C7806"/>
    <w:rsid w:val="003D109F"/>
    <w:rsid w:val="003D2478"/>
    <w:rsid w:val="003D3C45"/>
    <w:rsid w:val="003D5B1F"/>
    <w:rsid w:val="003E15FA"/>
    <w:rsid w:val="003E3AA3"/>
    <w:rsid w:val="003E459D"/>
    <w:rsid w:val="003E55E4"/>
    <w:rsid w:val="003E74E3"/>
    <w:rsid w:val="003F05C7"/>
    <w:rsid w:val="003F2CD4"/>
    <w:rsid w:val="003F6BBE"/>
    <w:rsid w:val="004000E8"/>
    <w:rsid w:val="00400439"/>
    <w:rsid w:val="00402E2B"/>
    <w:rsid w:val="004049CF"/>
    <w:rsid w:val="0040512B"/>
    <w:rsid w:val="00405CA5"/>
    <w:rsid w:val="00407CD3"/>
    <w:rsid w:val="00410134"/>
    <w:rsid w:val="00410B72"/>
    <w:rsid w:val="00410F18"/>
    <w:rsid w:val="0041263E"/>
    <w:rsid w:val="00413AAC"/>
    <w:rsid w:val="00413E92"/>
    <w:rsid w:val="00420370"/>
    <w:rsid w:val="00421105"/>
    <w:rsid w:val="00422AA4"/>
    <w:rsid w:val="004242F4"/>
    <w:rsid w:val="00427248"/>
    <w:rsid w:val="0043624B"/>
    <w:rsid w:val="00437447"/>
    <w:rsid w:val="00441A92"/>
    <w:rsid w:val="004431DC"/>
    <w:rsid w:val="00444F56"/>
    <w:rsid w:val="00446488"/>
    <w:rsid w:val="004517AA"/>
    <w:rsid w:val="00452CAC"/>
    <w:rsid w:val="00452F0C"/>
    <w:rsid w:val="00453D9F"/>
    <w:rsid w:val="00453F36"/>
    <w:rsid w:val="00457565"/>
    <w:rsid w:val="00457B71"/>
    <w:rsid w:val="004669E2"/>
    <w:rsid w:val="00470C31"/>
    <w:rsid w:val="00471DE0"/>
    <w:rsid w:val="00472B41"/>
    <w:rsid w:val="004734D0"/>
    <w:rsid w:val="0047556B"/>
    <w:rsid w:val="004772FC"/>
    <w:rsid w:val="00477768"/>
    <w:rsid w:val="00482004"/>
    <w:rsid w:val="00492BC5"/>
    <w:rsid w:val="004964F1"/>
    <w:rsid w:val="004A16BC"/>
    <w:rsid w:val="004A2B94"/>
    <w:rsid w:val="004A4B33"/>
    <w:rsid w:val="004B1D5E"/>
    <w:rsid w:val="004B2559"/>
    <w:rsid w:val="004B46C9"/>
    <w:rsid w:val="004B49EF"/>
    <w:rsid w:val="004B6F6A"/>
    <w:rsid w:val="004B74BD"/>
    <w:rsid w:val="004B7C0C"/>
    <w:rsid w:val="004C1151"/>
    <w:rsid w:val="004C3898"/>
    <w:rsid w:val="004C6842"/>
    <w:rsid w:val="004D36B1"/>
    <w:rsid w:val="004D7EBD"/>
    <w:rsid w:val="004E226D"/>
    <w:rsid w:val="004E2680"/>
    <w:rsid w:val="004E28F9"/>
    <w:rsid w:val="004E462E"/>
    <w:rsid w:val="004E56DC"/>
    <w:rsid w:val="004E76F4"/>
    <w:rsid w:val="004F0B4E"/>
    <w:rsid w:val="004F0B6C"/>
    <w:rsid w:val="004F2078"/>
    <w:rsid w:val="004F4DA3"/>
    <w:rsid w:val="004F74BF"/>
    <w:rsid w:val="00506557"/>
    <w:rsid w:val="0050677A"/>
    <w:rsid w:val="0050778A"/>
    <w:rsid w:val="005108D8"/>
    <w:rsid w:val="005116F9"/>
    <w:rsid w:val="005153A7"/>
    <w:rsid w:val="005219CF"/>
    <w:rsid w:val="00523E8F"/>
    <w:rsid w:val="00526F7F"/>
    <w:rsid w:val="005338C5"/>
    <w:rsid w:val="00534B59"/>
    <w:rsid w:val="0053662A"/>
    <w:rsid w:val="00536759"/>
    <w:rsid w:val="00537C62"/>
    <w:rsid w:val="00541BF3"/>
    <w:rsid w:val="005442EF"/>
    <w:rsid w:val="00546970"/>
    <w:rsid w:val="00547494"/>
    <w:rsid w:val="00554E19"/>
    <w:rsid w:val="0056121F"/>
    <w:rsid w:val="00562C19"/>
    <w:rsid w:val="00572505"/>
    <w:rsid w:val="005761DC"/>
    <w:rsid w:val="00582809"/>
    <w:rsid w:val="0058798C"/>
    <w:rsid w:val="005900FA"/>
    <w:rsid w:val="005935A4"/>
    <w:rsid w:val="005948C2"/>
    <w:rsid w:val="00595DCA"/>
    <w:rsid w:val="0059779B"/>
    <w:rsid w:val="005A209A"/>
    <w:rsid w:val="005A4D02"/>
    <w:rsid w:val="005A662D"/>
    <w:rsid w:val="005B1409"/>
    <w:rsid w:val="005B35D7"/>
    <w:rsid w:val="005B392A"/>
    <w:rsid w:val="005B3AA3"/>
    <w:rsid w:val="005B6F83"/>
    <w:rsid w:val="005C31D6"/>
    <w:rsid w:val="005C74FB"/>
    <w:rsid w:val="005D0E32"/>
    <w:rsid w:val="005D1602"/>
    <w:rsid w:val="005D2381"/>
    <w:rsid w:val="005D4350"/>
    <w:rsid w:val="005E385F"/>
    <w:rsid w:val="005E5B81"/>
    <w:rsid w:val="005F1560"/>
    <w:rsid w:val="005F1D26"/>
    <w:rsid w:val="005F2CB1"/>
    <w:rsid w:val="005F3025"/>
    <w:rsid w:val="005F4F55"/>
    <w:rsid w:val="005F618C"/>
    <w:rsid w:val="005F70BD"/>
    <w:rsid w:val="00600705"/>
    <w:rsid w:val="0060283C"/>
    <w:rsid w:val="00604F14"/>
    <w:rsid w:val="00611B83"/>
    <w:rsid w:val="00613257"/>
    <w:rsid w:val="00620A71"/>
    <w:rsid w:val="00620D80"/>
    <w:rsid w:val="006234A6"/>
    <w:rsid w:val="00627A83"/>
    <w:rsid w:val="00630001"/>
    <w:rsid w:val="006311B3"/>
    <w:rsid w:val="0063284C"/>
    <w:rsid w:val="00632F44"/>
    <w:rsid w:val="00636398"/>
    <w:rsid w:val="006368D3"/>
    <w:rsid w:val="006377EC"/>
    <w:rsid w:val="0064151F"/>
    <w:rsid w:val="00641533"/>
    <w:rsid w:val="0064208D"/>
    <w:rsid w:val="006428A2"/>
    <w:rsid w:val="00643475"/>
    <w:rsid w:val="0064396A"/>
    <w:rsid w:val="00645AF8"/>
    <w:rsid w:val="0064624E"/>
    <w:rsid w:val="00650AB9"/>
    <w:rsid w:val="006534F4"/>
    <w:rsid w:val="00655733"/>
    <w:rsid w:val="00655ACD"/>
    <w:rsid w:val="00656A92"/>
    <w:rsid w:val="00656DDE"/>
    <w:rsid w:val="0066011D"/>
    <w:rsid w:val="006607C0"/>
    <w:rsid w:val="006613A6"/>
    <w:rsid w:val="006627A2"/>
    <w:rsid w:val="006634E6"/>
    <w:rsid w:val="006655EE"/>
    <w:rsid w:val="00667EE7"/>
    <w:rsid w:val="00667FFE"/>
    <w:rsid w:val="00670922"/>
    <w:rsid w:val="006709D0"/>
    <w:rsid w:val="00670BE1"/>
    <w:rsid w:val="0067218F"/>
    <w:rsid w:val="006741F2"/>
    <w:rsid w:val="00674CC3"/>
    <w:rsid w:val="00675C72"/>
    <w:rsid w:val="00676A2C"/>
    <w:rsid w:val="006771F9"/>
    <w:rsid w:val="006776D7"/>
    <w:rsid w:val="00681003"/>
    <w:rsid w:val="006817C9"/>
    <w:rsid w:val="00683ECE"/>
    <w:rsid w:val="0069488F"/>
    <w:rsid w:val="00694F78"/>
    <w:rsid w:val="00695FC2"/>
    <w:rsid w:val="00696949"/>
    <w:rsid w:val="00697052"/>
    <w:rsid w:val="006A18C4"/>
    <w:rsid w:val="006A46FB"/>
    <w:rsid w:val="006A5744"/>
    <w:rsid w:val="006A5E28"/>
    <w:rsid w:val="006A5FC1"/>
    <w:rsid w:val="006A697B"/>
    <w:rsid w:val="006A7AFF"/>
    <w:rsid w:val="006B1816"/>
    <w:rsid w:val="006B2099"/>
    <w:rsid w:val="006B280D"/>
    <w:rsid w:val="006B50CF"/>
    <w:rsid w:val="006B5887"/>
    <w:rsid w:val="006C03B8"/>
    <w:rsid w:val="006C3C3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304"/>
    <w:rsid w:val="006F341D"/>
    <w:rsid w:val="006F3CDE"/>
    <w:rsid w:val="006F3EBF"/>
    <w:rsid w:val="006F58D4"/>
    <w:rsid w:val="006F6582"/>
    <w:rsid w:val="006F79B3"/>
    <w:rsid w:val="00702913"/>
    <w:rsid w:val="0070346E"/>
    <w:rsid w:val="00704542"/>
    <w:rsid w:val="00704EDB"/>
    <w:rsid w:val="00706101"/>
    <w:rsid w:val="00707072"/>
    <w:rsid w:val="00707D61"/>
    <w:rsid w:val="00712198"/>
    <w:rsid w:val="00712287"/>
    <w:rsid w:val="00712772"/>
    <w:rsid w:val="007148D3"/>
    <w:rsid w:val="00715B9A"/>
    <w:rsid w:val="00716D52"/>
    <w:rsid w:val="00720A18"/>
    <w:rsid w:val="007223BF"/>
    <w:rsid w:val="007257D0"/>
    <w:rsid w:val="00726EA6"/>
    <w:rsid w:val="00727208"/>
    <w:rsid w:val="00727680"/>
    <w:rsid w:val="00732B7B"/>
    <w:rsid w:val="007348B1"/>
    <w:rsid w:val="007362A6"/>
    <w:rsid w:val="00736D7D"/>
    <w:rsid w:val="00740E58"/>
    <w:rsid w:val="0074323C"/>
    <w:rsid w:val="007445A0"/>
    <w:rsid w:val="0074524B"/>
    <w:rsid w:val="00747D8B"/>
    <w:rsid w:val="00751228"/>
    <w:rsid w:val="00753B29"/>
    <w:rsid w:val="007558BC"/>
    <w:rsid w:val="007571E1"/>
    <w:rsid w:val="00757A16"/>
    <w:rsid w:val="007604B2"/>
    <w:rsid w:val="00761CCC"/>
    <w:rsid w:val="00765281"/>
    <w:rsid w:val="00766BAD"/>
    <w:rsid w:val="007729A2"/>
    <w:rsid w:val="007755F2"/>
    <w:rsid w:val="00776971"/>
    <w:rsid w:val="00777151"/>
    <w:rsid w:val="0078027A"/>
    <w:rsid w:val="00780A80"/>
    <w:rsid w:val="0078177E"/>
    <w:rsid w:val="0078304C"/>
    <w:rsid w:val="00783673"/>
    <w:rsid w:val="00783E21"/>
    <w:rsid w:val="0078484E"/>
    <w:rsid w:val="00785490"/>
    <w:rsid w:val="007925EA"/>
    <w:rsid w:val="00793CD8"/>
    <w:rsid w:val="00795C92"/>
    <w:rsid w:val="00796231"/>
    <w:rsid w:val="007A1CB3"/>
    <w:rsid w:val="007A306F"/>
    <w:rsid w:val="007A3648"/>
    <w:rsid w:val="007A43A6"/>
    <w:rsid w:val="007A58A6"/>
    <w:rsid w:val="007A72EA"/>
    <w:rsid w:val="007B3D2D"/>
    <w:rsid w:val="007B50AE"/>
    <w:rsid w:val="007B51DF"/>
    <w:rsid w:val="007B5F07"/>
    <w:rsid w:val="007C05DD"/>
    <w:rsid w:val="007C3D18"/>
    <w:rsid w:val="007C59EC"/>
    <w:rsid w:val="007C60BF"/>
    <w:rsid w:val="007C6A07"/>
    <w:rsid w:val="007C75A1"/>
    <w:rsid w:val="007C77A5"/>
    <w:rsid w:val="007D04E5"/>
    <w:rsid w:val="007D1D9D"/>
    <w:rsid w:val="007D5901"/>
    <w:rsid w:val="007D7526"/>
    <w:rsid w:val="007E4610"/>
    <w:rsid w:val="007E4715"/>
    <w:rsid w:val="007E505B"/>
    <w:rsid w:val="007E7091"/>
    <w:rsid w:val="00803FAE"/>
    <w:rsid w:val="0080605F"/>
    <w:rsid w:val="0080745E"/>
    <w:rsid w:val="00807786"/>
    <w:rsid w:val="00811FCB"/>
    <w:rsid w:val="008129EB"/>
    <w:rsid w:val="008158D6"/>
    <w:rsid w:val="00817196"/>
    <w:rsid w:val="008235DB"/>
    <w:rsid w:val="00823EC1"/>
    <w:rsid w:val="00824AB4"/>
    <w:rsid w:val="00825C42"/>
    <w:rsid w:val="00825D25"/>
    <w:rsid w:val="00827D6F"/>
    <w:rsid w:val="00830FA7"/>
    <w:rsid w:val="00831286"/>
    <w:rsid w:val="0083493C"/>
    <w:rsid w:val="008376AC"/>
    <w:rsid w:val="00837AC3"/>
    <w:rsid w:val="008444E8"/>
    <w:rsid w:val="00844E80"/>
    <w:rsid w:val="00846FE7"/>
    <w:rsid w:val="00855C21"/>
    <w:rsid w:val="008560B1"/>
    <w:rsid w:val="00856911"/>
    <w:rsid w:val="00861A2F"/>
    <w:rsid w:val="00863C42"/>
    <w:rsid w:val="008677FD"/>
    <w:rsid w:val="008706D4"/>
    <w:rsid w:val="00870F8A"/>
    <w:rsid w:val="008719A4"/>
    <w:rsid w:val="00871D23"/>
    <w:rsid w:val="008735A3"/>
    <w:rsid w:val="00874312"/>
    <w:rsid w:val="0087437C"/>
    <w:rsid w:val="00875CD7"/>
    <w:rsid w:val="00876B4D"/>
    <w:rsid w:val="00877F18"/>
    <w:rsid w:val="0089159B"/>
    <w:rsid w:val="008941E3"/>
    <w:rsid w:val="00894A88"/>
    <w:rsid w:val="00895386"/>
    <w:rsid w:val="008975E1"/>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23D"/>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462"/>
    <w:rsid w:val="00924B33"/>
    <w:rsid w:val="00931BD9"/>
    <w:rsid w:val="009368F3"/>
    <w:rsid w:val="00937B32"/>
    <w:rsid w:val="00941636"/>
    <w:rsid w:val="00943742"/>
    <w:rsid w:val="00945C05"/>
    <w:rsid w:val="00946945"/>
    <w:rsid w:val="00947713"/>
    <w:rsid w:val="00950DE7"/>
    <w:rsid w:val="00952423"/>
    <w:rsid w:val="00953920"/>
    <w:rsid w:val="00953D47"/>
    <w:rsid w:val="0095681E"/>
    <w:rsid w:val="009572D4"/>
    <w:rsid w:val="009573DF"/>
    <w:rsid w:val="00960CD9"/>
    <w:rsid w:val="00961921"/>
    <w:rsid w:val="0096430A"/>
    <w:rsid w:val="0096554B"/>
    <w:rsid w:val="0096584A"/>
    <w:rsid w:val="0097014A"/>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3BB6"/>
    <w:rsid w:val="009A462D"/>
    <w:rsid w:val="009A4D74"/>
    <w:rsid w:val="009A5CBA"/>
    <w:rsid w:val="009A6635"/>
    <w:rsid w:val="009B1F30"/>
    <w:rsid w:val="009B2137"/>
    <w:rsid w:val="009B3AC2"/>
    <w:rsid w:val="009B4DF4"/>
    <w:rsid w:val="009B564E"/>
    <w:rsid w:val="009B5C28"/>
    <w:rsid w:val="009B7E87"/>
    <w:rsid w:val="009C0169"/>
    <w:rsid w:val="009C0D1B"/>
    <w:rsid w:val="009C403E"/>
    <w:rsid w:val="009C701A"/>
    <w:rsid w:val="009D4F2B"/>
    <w:rsid w:val="009D4FF0"/>
    <w:rsid w:val="009D703C"/>
    <w:rsid w:val="009D718F"/>
    <w:rsid w:val="009E068F"/>
    <w:rsid w:val="009E14E0"/>
    <w:rsid w:val="009E35DB"/>
    <w:rsid w:val="009E47A3"/>
    <w:rsid w:val="009F08F3"/>
    <w:rsid w:val="009F1087"/>
    <w:rsid w:val="009F344F"/>
    <w:rsid w:val="009F4AF8"/>
    <w:rsid w:val="00A03143"/>
    <w:rsid w:val="00A031D8"/>
    <w:rsid w:val="00A048A8"/>
    <w:rsid w:val="00A04F49"/>
    <w:rsid w:val="00A1362C"/>
    <w:rsid w:val="00A13E54"/>
    <w:rsid w:val="00A17F63"/>
    <w:rsid w:val="00A218DF"/>
    <w:rsid w:val="00A2193B"/>
    <w:rsid w:val="00A2351A"/>
    <w:rsid w:val="00A264A9"/>
    <w:rsid w:val="00A26DCF"/>
    <w:rsid w:val="00A27143"/>
    <w:rsid w:val="00A27785"/>
    <w:rsid w:val="00A30187"/>
    <w:rsid w:val="00A3448A"/>
    <w:rsid w:val="00A36297"/>
    <w:rsid w:val="00A41E2B"/>
    <w:rsid w:val="00A45B74"/>
    <w:rsid w:val="00A52E1D"/>
    <w:rsid w:val="00A573F6"/>
    <w:rsid w:val="00A609FB"/>
    <w:rsid w:val="00A61499"/>
    <w:rsid w:val="00A62A77"/>
    <w:rsid w:val="00A63483"/>
    <w:rsid w:val="00A657D7"/>
    <w:rsid w:val="00A660AC"/>
    <w:rsid w:val="00A67E6C"/>
    <w:rsid w:val="00A71B99"/>
    <w:rsid w:val="00A739D0"/>
    <w:rsid w:val="00A75A42"/>
    <w:rsid w:val="00A761D4"/>
    <w:rsid w:val="00A77EC4"/>
    <w:rsid w:val="00A851E6"/>
    <w:rsid w:val="00A8792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75"/>
    <w:rsid w:val="00AE40E0"/>
    <w:rsid w:val="00AE4382"/>
    <w:rsid w:val="00AE4DBA"/>
    <w:rsid w:val="00AE4F07"/>
    <w:rsid w:val="00AE7C06"/>
    <w:rsid w:val="00AF1C5D"/>
    <w:rsid w:val="00AF42D7"/>
    <w:rsid w:val="00B006FE"/>
    <w:rsid w:val="00B007CB"/>
    <w:rsid w:val="00B02AA9"/>
    <w:rsid w:val="00B02FA3"/>
    <w:rsid w:val="00B05084"/>
    <w:rsid w:val="00B157F9"/>
    <w:rsid w:val="00B17665"/>
    <w:rsid w:val="00B20256"/>
    <w:rsid w:val="00B20D09"/>
    <w:rsid w:val="00B228AE"/>
    <w:rsid w:val="00B2763F"/>
    <w:rsid w:val="00B27AAC"/>
    <w:rsid w:val="00B30929"/>
    <w:rsid w:val="00B35037"/>
    <w:rsid w:val="00B35BF4"/>
    <w:rsid w:val="00B372AA"/>
    <w:rsid w:val="00B40445"/>
    <w:rsid w:val="00B409E0"/>
    <w:rsid w:val="00B411A1"/>
    <w:rsid w:val="00B41888"/>
    <w:rsid w:val="00B44DBD"/>
    <w:rsid w:val="00B45A52"/>
    <w:rsid w:val="00B46175"/>
    <w:rsid w:val="00B5116B"/>
    <w:rsid w:val="00B52185"/>
    <w:rsid w:val="00B548B7"/>
    <w:rsid w:val="00B55E00"/>
    <w:rsid w:val="00B664C7"/>
    <w:rsid w:val="00B70A78"/>
    <w:rsid w:val="00B739F6"/>
    <w:rsid w:val="00B76CC1"/>
    <w:rsid w:val="00B81A6C"/>
    <w:rsid w:val="00B85DE5"/>
    <w:rsid w:val="00B9050B"/>
    <w:rsid w:val="00B90F73"/>
    <w:rsid w:val="00B92390"/>
    <w:rsid w:val="00B93B59"/>
    <w:rsid w:val="00B9406A"/>
    <w:rsid w:val="00B94548"/>
    <w:rsid w:val="00B97FE6"/>
    <w:rsid w:val="00BA2280"/>
    <w:rsid w:val="00BA2A08"/>
    <w:rsid w:val="00BA520D"/>
    <w:rsid w:val="00BA56D2"/>
    <w:rsid w:val="00BA76E0"/>
    <w:rsid w:val="00BB2A25"/>
    <w:rsid w:val="00BB3AE4"/>
    <w:rsid w:val="00BB51E9"/>
    <w:rsid w:val="00BC0FDC"/>
    <w:rsid w:val="00BC3053"/>
    <w:rsid w:val="00BC4D2E"/>
    <w:rsid w:val="00BC7A46"/>
    <w:rsid w:val="00BD18B6"/>
    <w:rsid w:val="00BD48AC"/>
    <w:rsid w:val="00BD5F1A"/>
    <w:rsid w:val="00BE0960"/>
    <w:rsid w:val="00BE1234"/>
    <w:rsid w:val="00BE2FA6"/>
    <w:rsid w:val="00BE333F"/>
    <w:rsid w:val="00BE7406"/>
    <w:rsid w:val="00BE7603"/>
    <w:rsid w:val="00BF3279"/>
    <w:rsid w:val="00BF74C7"/>
    <w:rsid w:val="00C015F1"/>
    <w:rsid w:val="00C016AA"/>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3C5E"/>
    <w:rsid w:val="00C64672"/>
    <w:rsid w:val="00C66CCB"/>
    <w:rsid w:val="00C67367"/>
    <w:rsid w:val="00C70697"/>
    <w:rsid w:val="00C72093"/>
    <w:rsid w:val="00C72D1C"/>
    <w:rsid w:val="00C72EF4"/>
    <w:rsid w:val="00C730D2"/>
    <w:rsid w:val="00C744FE"/>
    <w:rsid w:val="00C75D2F"/>
    <w:rsid w:val="00C767BE"/>
    <w:rsid w:val="00C76E3C"/>
    <w:rsid w:val="00C81568"/>
    <w:rsid w:val="00C876CC"/>
    <w:rsid w:val="00C9027A"/>
    <w:rsid w:val="00C9068E"/>
    <w:rsid w:val="00C93814"/>
    <w:rsid w:val="00C93C4B"/>
    <w:rsid w:val="00C944AB"/>
    <w:rsid w:val="00C95B40"/>
    <w:rsid w:val="00CA1ED8"/>
    <w:rsid w:val="00CA32D6"/>
    <w:rsid w:val="00CB1F63"/>
    <w:rsid w:val="00CB4659"/>
    <w:rsid w:val="00CB7170"/>
    <w:rsid w:val="00CC040E"/>
    <w:rsid w:val="00CC111F"/>
    <w:rsid w:val="00CC2011"/>
    <w:rsid w:val="00CC3EA0"/>
    <w:rsid w:val="00CC4103"/>
    <w:rsid w:val="00CC4FCA"/>
    <w:rsid w:val="00CC525B"/>
    <w:rsid w:val="00CC6D8A"/>
    <w:rsid w:val="00CC7B45"/>
    <w:rsid w:val="00CD1096"/>
    <w:rsid w:val="00CD1188"/>
    <w:rsid w:val="00CD2ED1"/>
    <w:rsid w:val="00CD337B"/>
    <w:rsid w:val="00CD7E19"/>
    <w:rsid w:val="00CE0424"/>
    <w:rsid w:val="00CE706A"/>
    <w:rsid w:val="00CE7561"/>
    <w:rsid w:val="00CF1354"/>
    <w:rsid w:val="00CF1EAE"/>
    <w:rsid w:val="00CF38BB"/>
    <w:rsid w:val="00CF3B1F"/>
    <w:rsid w:val="00CF3BF6"/>
    <w:rsid w:val="00CF625B"/>
    <w:rsid w:val="00CF687E"/>
    <w:rsid w:val="00CF6D96"/>
    <w:rsid w:val="00D0349B"/>
    <w:rsid w:val="00D0387B"/>
    <w:rsid w:val="00D04171"/>
    <w:rsid w:val="00D10249"/>
    <w:rsid w:val="00D115C3"/>
    <w:rsid w:val="00D11897"/>
    <w:rsid w:val="00D13135"/>
    <w:rsid w:val="00D13E4E"/>
    <w:rsid w:val="00D22D6A"/>
    <w:rsid w:val="00D239A7"/>
    <w:rsid w:val="00D23F47"/>
    <w:rsid w:val="00D26636"/>
    <w:rsid w:val="00D336CB"/>
    <w:rsid w:val="00D33E80"/>
    <w:rsid w:val="00D36BB9"/>
    <w:rsid w:val="00D36E71"/>
    <w:rsid w:val="00D37D87"/>
    <w:rsid w:val="00D4081C"/>
    <w:rsid w:val="00D40B33"/>
    <w:rsid w:val="00D4318F"/>
    <w:rsid w:val="00D438BF"/>
    <w:rsid w:val="00D440F8"/>
    <w:rsid w:val="00D546FF"/>
    <w:rsid w:val="00D55AD5"/>
    <w:rsid w:val="00D576CA"/>
    <w:rsid w:val="00D57BFF"/>
    <w:rsid w:val="00D60AB7"/>
    <w:rsid w:val="00D61AF5"/>
    <w:rsid w:val="00D652B5"/>
    <w:rsid w:val="00D66155"/>
    <w:rsid w:val="00D708B0"/>
    <w:rsid w:val="00D70C61"/>
    <w:rsid w:val="00D730E9"/>
    <w:rsid w:val="00D77B1D"/>
    <w:rsid w:val="00D8021F"/>
    <w:rsid w:val="00D80383"/>
    <w:rsid w:val="00D823C6"/>
    <w:rsid w:val="00D8327F"/>
    <w:rsid w:val="00D86CA3"/>
    <w:rsid w:val="00D871CE"/>
    <w:rsid w:val="00D9196D"/>
    <w:rsid w:val="00D92982"/>
    <w:rsid w:val="00D93D77"/>
    <w:rsid w:val="00D95A57"/>
    <w:rsid w:val="00D961C6"/>
    <w:rsid w:val="00DA0A1E"/>
    <w:rsid w:val="00DA2581"/>
    <w:rsid w:val="00DA305E"/>
    <w:rsid w:val="00DA4127"/>
    <w:rsid w:val="00DA4B23"/>
    <w:rsid w:val="00DA4F10"/>
    <w:rsid w:val="00DA5417"/>
    <w:rsid w:val="00DA56E8"/>
    <w:rsid w:val="00DA6EC7"/>
    <w:rsid w:val="00DB0A9F"/>
    <w:rsid w:val="00DB377D"/>
    <w:rsid w:val="00DC2D36"/>
    <w:rsid w:val="00DC53EF"/>
    <w:rsid w:val="00DE5608"/>
    <w:rsid w:val="00DE58D0"/>
    <w:rsid w:val="00DE654F"/>
    <w:rsid w:val="00DF0B6E"/>
    <w:rsid w:val="00DF15E0"/>
    <w:rsid w:val="00DF37A0"/>
    <w:rsid w:val="00DF4C23"/>
    <w:rsid w:val="00DF66E1"/>
    <w:rsid w:val="00E015B8"/>
    <w:rsid w:val="00E110E7"/>
    <w:rsid w:val="00E11B20"/>
    <w:rsid w:val="00E141CB"/>
    <w:rsid w:val="00E17FA2"/>
    <w:rsid w:val="00E22330"/>
    <w:rsid w:val="00E307A6"/>
    <w:rsid w:val="00E30B5A"/>
    <w:rsid w:val="00E3123D"/>
    <w:rsid w:val="00E31461"/>
    <w:rsid w:val="00E31D43"/>
    <w:rsid w:val="00E32608"/>
    <w:rsid w:val="00E33943"/>
    <w:rsid w:val="00E34188"/>
    <w:rsid w:val="00E34B6E"/>
    <w:rsid w:val="00E35559"/>
    <w:rsid w:val="00E3723A"/>
    <w:rsid w:val="00E37860"/>
    <w:rsid w:val="00E446F1"/>
    <w:rsid w:val="00E46886"/>
    <w:rsid w:val="00E47AEF"/>
    <w:rsid w:val="00E53B75"/>
    <w:rsid w:val="00E54E3B"/>
    <w:rsid w:val="00E57565"/>
    <w:rsid w:val="00E63838"/>
    <w:rsid w:val="00E64434"/>
    <w:rsid w:val="00E678A9"/>
    <w:rsid w:val="00E67C51"/>
    <w:rsid w:val="00E71980"/>
    <w:rsid w:val="00E72337"/>
    <w:rsid w:val="00E72EFC"/>
    <w:rsid w:val="00E747E7"/>
    <w:rsid w:val="00E758EC"/>
    <w:rsid w:val="00E8234C"/>
    <w:rsid w:val="00E83AA9"/>
    <w:rsid w:val="00E85928"/>
    <w:rsid w:val="00E87822"/>
    <w:rsid w:val="00E90395"/>
    <w:rsid w:val="00E90A58"/>
    <w:rsid w:val="00E90E49"/>
    <w:rsid w:val="00E917F9"/>
    <w:rsid w:val="00E9291C"/>
    <w:rsid w:val="00E93FFE"/>
    <w:rsid w:val="00E94F8A"/>
    <w:rsid w:val="00EA6FD5"/>
    <w:rsid w:val="00EA7A41"/>
    <w:rsid w:val="00EB077B"/>
    <w:rsid w:val="00EB4EA2"/>
    <w:rsid w:val="00EC24D5"/>
    <w:rsid w:val="00EC27C6"/>
    <w:rsid w:val="00EC4207"/>
    <w:rsid w:val="00EC5653"/>
    <w:rsid w:val="00EC71CE"/>
    <w:rsid w:val="00ED038B"/>
    <w:rsid w:val="00ED1006"/>
    <w:rsid w:val="00EF18FE"/>
    <w:rsid w:val="00EF5787"/>
    <w:rsid w:val="00EF60D0"/>
    <w:rsid w:val="00EF7FB7"/>
    <w:rsid w:val="00F01DF3"/>
    <w:rsid w:val="00F0528D"/>
    <w:rsid w:val="00F059F9"/>
    <w:rsid w:val="00F06C67"/>
    <w:rsid w:val="00F06DFD"/>
    <w:rsid w:val="00F071D1"/>
    <w:rsid w:val="00F07533"/>
    <w:rsid w:val="00F10629"/>
    <w:rsid w:val="00F15FA5"/>
    <w:rsid w:val="00F209B7"/>
    <w:rsid w:val="00F20F5C"/>
    <w:rsid w:val="00F2376F"/>
    <w:rsid w:val="00F243D8"/>
    <w:rsid w:val="00F26A50"/>
    <w:rsid w:val="00F30828"/>
    <w:rsid w:val="00F313D6"/>
    <w:rsid w:val="00F37A36"/>
    <w:rsid w:val="00F40F0C"/>
    <w:rsid w:val="00F47429"/>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38D3"/>
    <w:rsid w:val="00F74BB9"/>
    <w:rsid w:val="00F75582"/>
    <w:rsid w:val="00F76EFA"/>
    <w:rsid w:val="00F804BE"/>
    <w:rsid w:val="00F817CE"/>
    <w:rsid w:val="00F8456C"/>
    <w:rsid w:val="00F84874"/>
    <w:rsid w:val="00F859D8"/>
    <w:rsid w:val="00F85A30"/>
    <w:rsid w:val="00F868F5"/>
    <w:rsid w:val="00F904D2"/>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9"/>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table" w:styleId="GridTable2">
    <w:name w:val="Grid Table 2"/>
    <w:basedOn w:val="TableNormal"/>
    <w:uiPriority w:val="47"/>
    <w:rsid w:val="00BA520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3">
    <w:name w:val="Grid Table 2 Accent 3"/>
    <w:basedOn w:val="TableNormal"/>
    <w:uiPriority w:val="47"/>
    <w:rsid w:val="00BA520D"/>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numbering" w:customStyle="1" w:styleId="CurrentList1">
    <w:name w:val="Current List1"/>
    <w:uiPriority w:val="99"/>
    <w:rsid w:val="000D026F"/>
    <w:pPr>
      <w:numPr>
        <w:numId w:val="46"/>
      </w:numPr>
    </w:pPr>
  </w:style>
  <w:style w:type="numbering" w:customStyle="1" w:styleId="CurrentList2">
    <w:name w:val="Current List2"/>
    <w:uiPriority w:val="99"/>
    <w:rsid w:val="00F84874"/>
    <w:pPr>
      <w:numPr>
        <w:numId w:val="48"/>
      </w:numPr>
    </w:pPr>
  </w:style>
  <w:style w:type="numbering" w:customStyle="1" w:styleId="CurrentList3">
    <w:name w:val="Current List3"/>
    <w:uiPriority w:val="99"/>
    <w:rsid w:val="00F84874"/>
    <w:pPr>
      <w:numPr>
        <w:numId w:val="50"/>
      </w:numPr>
    </w:pPr>
  </w:style>
  <w:style w:type="character" w:customStyle="1" w:styleId="TALChar">
    <w:name w:val="TAL Char"/>
    <w:qFormat/>
    <w:rsid w:val="00632F44"/>
    <w:rPr>
      <w:rFonts w:ascii="Arial" w:hAnsi="Arial"/>
      <w:sz w:val="18"/>
      <w:lang w:eastAsia="en-US"/>
    </w:rPr>
  </w:style>
  <w:style w:type="character" w:customStyle="1" w:styleId="TACChar">
    <w:name w:val="TAC Char"/>
    <w:basedOn w:val="TALChar"/>
    <w:link w:val="TAC"/>
    <w:qFormat/>
    <w:locked/>
    <w:rsid w:val="00632F44"/>
    <w:rPr>
      <w:rFonts w:ascii="Arial" w:hAnsi="Arial"/>
      <w:sz w:val="18"/>
      <w:lang w:val="x-none" w:eastAsia="x-none"/>
    </w:rPr>
  </w:style>
  <w:style w:type="character" w:customStyle="1" w:styleId="TAHChar">
    <w:name w:val="TAH Char"/>
    <w:qFormat/>
    <w:rsid w:val="00632F44"/>
    <w:rPr>
      <w:rFonts w:ascii="Arial" w:hAnsi="Arial"/>
      <w:b/>
      <w:sz w:val="18"/>
      <w:lang w:eastAsia="en-US"/>
    </w:rPr>
  </w:style>
  <w:style w:type="paragraph" w:styleId="NormalWeb">
    <w:name w:val="Normal (Web)"/>
    <w:basedOn w:val="Normal"/>
    <w:uiPriority w:val="99"/>
    <w:unhideWhenUsed/>
    <w:rsid w:val="00A218DF"/>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085238">
      <w:bodyDiv w:val="1"/>
      <w:marLeft w:val="0"/>
      <w:marRight w:val="0"/>
      <w:marTop w:val="0"/>
      <w:marBottom w:val="0"/>
      <w:divBdr>
        <w:top w:val="none" w:sz="0" w:space="0" w:color="auto"/>
        <w:left w:val="none" w:sz="0" w:space="0" w:color="auto"/>
        <w:bottom w:val="none" w:sz="0" w:space="0" w:color="auto"/>
        <w:right w:val="none" w:sz="0" w:space="0" w:color="auto"/>
      </w:divBdr>
    </w:div>
    <w:div w:id="1504391304">
      <w:bodyDiv w:val="1"/>
      <w:marLeft w:val="0"/>
      <w:marRight w:val="0"/>
      <w:marTop w:val="0"/>
      <w:marBottom w:val="0"/>
      <w:divBdr>
        <w:top w:val="none" w:sz="0" w:space="0" w:color="auto"/>
        <w:left w:val="none" w:sz="0" w:space="0" w:color="auto"/>
        <w:bottom w:val="none" w:sz="0" w:space="0" w:color="auto"/>
        <w:right w:val="none" w:sz="0" w:space="0" w:color="auto"/>
      </w:divBdr>
    </w:div>
    <w:div w:id="2082484168">
      <w:bodyDiv w:val="1"/>
      <w:marLeft w:val="0"/>
      <w:marRight w:val="0"/>
      <w:marTop w:val="0"/>
      <w:marBottom w:val="0"/>
      <w:divBdr>
        <w:top w:val="none" w:sz="0" w:space="0" w:color="auto"/>
        <w:left w:val="none" w:sz="0" w:space="0" w:color="auto"/>
        <w:bottom w:val="none" w:sz="0" w:space="0" w:color="auto"/>
        <w:right w:val="none" w:sz="0" w:space="0" w:color="auto"/>
      </w:divBdr>
    </w:div>
    <w:div w:id="208857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406518FE-032F-4CF6-AAA9-A82777C89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6</Pages>
  <Words>1962</Words>
  <Characters>11186</Characters>
  <Application>Microsoft Office Word</Application>
  <DocSecurity>0</DocSecurity>
  <Lines>93</Lines>
  <Paragraphs>26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Ericsson</vt:lpstr>
      <vt:lpstr>Ericsson</vt:lpstr>
    </vt:vector>
  </TitlesOfParts>
  <Company>Ericsson</Company>
  <LinksUpToDate>false</LinksUpToDate>
  <CharactersWithSpaces>13122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(Thales)</cp:lastModifiedBy>
  <cp:revision>2</cp:revision>
  <cp:lastPrinted>2008-01-31T07:09:00Z</cp:lastPrinted>
  <dcterms:created xsi:type="dcterms:W3CDTF">2024-11-07T21:36:00Z</dcterms:created>
  <dcterms:modified xsi:type="dcterms:W3CDTF">2024-11-07T21:36:00Z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